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8644" w14:textId="77777777" w:rsidR="0076708D" w:rsidRPr="00A1769A" w:rsidRDefault="0076708D" w:rsidP="0076708D">
      <w:pPr>
        <w:spacing w:after="160" w:line="259" w:lineRule="auto"/>
        <w:jc w:val="center"/>
        <w:rPr>
          <w:rFonts w:ascii="Avenir Next LT Pro" w:hAnsi="Avenir Next LT Pro"/>
        </w:rPr>
      </w:pPr>
      <w:r w:rsidRPr="00A1769A">
        <w:rPr>
          <w:rFonts w:ascii="Avenir Next LT Pro" w:hAnsi="Avenir Next LT Pro"/>
          <w:b/>
          <w:bCs/>
          <w:sz w:val="32"/>
          <w:szCs w:val="32"/>
        </w:rPr>
        <w:t>TERCERA SALA EN MATERIA FISCAL Y ADMINISTRATIVA</w:t>
      </w:r>
    </w:p>
    <w:p w14:paraId="583E2726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6370B18C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3BCB671C" w14:textId="767CEA5C" w:rsidR="0076708D" w:rsidRPr="0076708D" w:rsidRDefault="0076708D" w:rsidP="0076708D">
      <w:pPr>
        <w:pStyle w:val="Sinespaciad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A1769A">
        <w:rPr>
          <w:rFonts w:ascii="Avenir Next LT Pro" w:hAnsi="Avenir Next LT Pro"/>
          <w:b/>
          <w:bCs/>
          <w:sz w:val="24"/>
          <w:szCs w:val="24"/>
        </w:rPr>
        <w:t>ARTÍCULO 34</w:t>
      </w:r>
      <w:r>
        <w:rPr>
          <w:rFonts w:ascii="Avenir Next LT Pro" w:hAnsi="Avenir Next LT Pro"/>
          <w:b/>
          <w:bCs/>
          <w:sz w:val="24"/>
          <w:szCs w:val="24"/>
        </w:rPr>
        <w:t xml:space="preserve">, </w:t>
      </w:r>
      <w:r w:rsidRPr="00A1769A">
        <w:rPr>
          <w:rFonts w:ascii="Avenir Next LT Pro" w:hAnsi="Avenir Next LT Pro"/>
          <w:b/>
          <w:bCs/>
        </w:rPr>
        <w:t xml:space="preserve">FRACCIÓN V.- </w:t>
      </w:r>
      <w:r w:rsidRPr="00A1769A">
        <w:rPr>
          <w:rFonts w:ascii="Avenir Next LT Pro" w:hAnsi="Avenir Next LT Pro"/>
        </w:rPr>
        <w:t>Los principales indicadores sobre la actividad jurisdiccional que deberán incluir, al menos, los asuntos iniciados, en trámite y resueltos.</w:t>
      </w:r>
    </w:p>
    <w:p w14:paraId="053F7930" w14:textId="77777777" w:rsidR="0076708D" w:rsidRPr="00A1769A" w:rsidRDefault="0076708D" w:rsidP="0076708D">
      <w:pPr>
        <w:ind w:left="-1134"/>
        <w:jc w:val="both"/>
        <w:rPr>
          <w:rFonts w:ascii="Avenir Next LT Pro" w:hAnsi="Avenir Next LT Pro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76708D" w:rsidRPr="00A1769A" w14:paraId="70397C6C" w14:textId="77777777" w:rsidTr="00C14D29">
        <w:trPr>
          <w:trHeight w:val="708"/>
        </w:trPr>
        <w:tc>
          <w:tcPr>
            <w:tcW w:w="799" w:type="dxa"/>
            <w:vAlign w:val="center"/>
          </w:tcPr>
          <w:p w14:paraId="6F18DC02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Año</w:t>
            </w:r>
          </w:p>
        </w:tc>
        <w:tc>
          <w:tcPr>
            <w:tcW w:w="1911" w:type="dxa"/>
            <w:vAlign w:val="center"/>
          </w:tcPr>
          <w:p w14:paraId="27BD340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Iniciados</w:t>
            </w:r>
          </w:p>
        </w:tc>
        <w:tc>
          <w:tcPr>
            <w:tcW w:w="2241" w:type="dxa"/>
            <w:vAlign w:val="center"/>
          </w:tcPr>
          <w:p w14:paraId="2082FCB1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Tramite</w:t>
            </w:r>
          </w:p>
        </w:tc>
        <w:tc>
          <w:tcPr>
            <w:tcW w:w="2500" w:type="dxa"/>
            <w:vAlign w:val="center"/>
          </w:tcPr>
          <w:p w14:paraId="5C24D29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Resueltos</w:t>
            </w:r>
          </w:p>
        </w:tc>
        <w:tc>
          <w:tcPr>
            <w:tcW w:w="2183" w:type="dxa"/>
            <w:vAlign w:val="center"/>
          </w:tcPr>
          <w:p w14:paraId="0BAFBEDB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Apelación</w:t>
            </w:r>
          </w:p>
        </w:tc>
      </w:tr>
      <w:tr w:rsidR="0076708D" w:rsidRPr="00A1769A" w14:paraId="0FEB454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68672328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2017</w:t>
            </w:r>
          </w:p>
        </w:tc>
        <w:tc>
          <w:tcPr>
            <w:tcW w:w="1911" w:type="dxa"/>
            <w:vAlign w:val="center"/>
          </w:tcPr>
          <w:p w14:paraId="57BCB35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11</w:t>
            </w:r>
          </w:p>
        </w:tc>
        <w:tc>
          <w:tcPr>
            <w:tcW w:w="2241" w:type="dxa"/>
            <w:vAlign w:val="center"/>
          </w:tcPr>
          <w:p w14:paraId="7D38C31B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05A1CCFC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11</w:t>
            </w:r>
          </w:p>
        </w:tc>
        <w:tc>
          <w:tcPr>
            <w:tcW w:w="2183" w:type="dxa"/>
            <w:vAlign w:val="center"/>
          </w:tcPr>
          <w:p w14:paraId="2B41A1DC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18163F91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4FCC50E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2018</w:t>
            </w:r>
          </w:p>
        </w:tc>
        <w:tc>
          <w:tcPr>
            <w:tcW w:w="1911" w:type="dxa"/>
            <w:vAlign w:val="center"/>
          </w:tcPr>
          <w:p w14:paraId="6C49D2D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64</w:t>
            </w:r>
          </w:p>
        </w:tc>
        <w:tc>
          <w:tcPr>
            <w:tcW w:w="2241" w:type="dxa"/>
            <w:vAlign w:val="center"/>
          </w:tcPr>
          <w:p w14:paraId="672B53A8" w14:textId="1AE3C697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0435391D" w14:textId="37D2ACE0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</w:t>
            </w:r>
            <w:r w:rsidR="006C1398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08DCC24A" w14:textId="1038FAA8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2C266B7F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2891575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2019</w:t>
            </w:r>
          </w:p>
        </w:tc>
        <w:tc>
          <w:tcPr>
            <w:tcW w:w="1911" w:type="dxa"/>
            <w:vAlign w:val="center"/>
          </w:tcPr>
          <w:p w14:paraId="6AD1AC1A" w14:textId="1E5EA934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8</w:t>
            </w:r>
            <w:r w:rsidR="006C1398">
              <w:rPr>
                <w:rFonts w:ascii="Avenir Next LT Pro" w:hAnsi="Avenir Next LT Pro"/>
              </w:rPr>
              <w:t>7</w:t>
            </w:r>
          </w:p>
        </w:tc>
        <w:tc>
          <w:tcPr>
            <w:tcW w:w="2241" w:type="dxa"/>
            <w:vAlign w:val="center"/>
          </w:tcPr>
          <w:p w14:paraId="08C4646C" w14:textId="3A99ECFA" w:rsidR="0076708D" w:rsidRPr="00A1769A" w:rsidRDefault="006C1398" w:rsidP="006C1398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714D4A30" w14:textId="209886FA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87</w:t>
            </w:r>
          </w:p>
        </w:tc>
        <w:tc>
          <w:tcPr>
            <w:tcW w:w="2183" w:type="dxa"/>
            <w:vAlign w:val="center"/>
          </w:tcPr>
          <w:p w14:paraId="3D24142A" w14:textId="50F3E943" w:rsidR="0076708D" w:rsidRPr="00A1769A" w:rsidRDefault="006B1B0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198CA0C8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58F6B19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2020</w:t>
            </w:r>
          </w:p>
        </w:tc>
        <w:tc>
          <w:tcPr>
            <w:tcW w:w="1911" w:type="dxa"/>
            <w:vAlign w:val="center"/>
          </w:tcPr>
          <w:p w14:paraId="0B08C302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77</w:t>
            </w:r>
          </w:p>
        </w:tc>
        <w:tc>
          <w:tcPr>
            <w:tcW w:w="2241" w:type="dxa"/>
            <w:vAlign w:val="center"/>
          </w:tcPr>
          <w:p w14:paraId="6A2DD793" w14:textId="20FEC448" w:rsidR="0076708D" w:rsidRPr="00A1769A" w:rsidRDefault="009D33CB" w:rsidP="00852A7F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  <w:tc>
          <w:tcPr>
            <w:tcW w:w="2500" w:type="dxa"/>
            <w:vAlign w:val="center"/>
          </w:tcPr>
          <w:p w14:paraId="7BB416EA" w14:textId="25B023B0" w:rsidR="0076708D" w:rsidRPr="00A1769A" w:rsidRDefault="009D33CB" w:rsidP="0048249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</w:t>
            </w:r>
            <w:r w:rsidR="00F12FA1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46DFFA28" w14:textId="07CC61F0" w:rsidR="0076708D" w:rsidRPr="00A1769A" w:rsidRDefault="00054645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  <w:r w:rsidR="00F12FA1">
              <w:rPr>
                <w:rFonts w:ascii="Avenir Next LT Pro" w:hAnsi="Avenir Next LT Pro"/>
              </w:rPr>
              <w:t>3</w:t>
            </w:r>
          </w:p>
        </w:tc>
      </w:tr>
      <w:tr w:rsidR="0076708D" w:rsidRPr="00A1769A" w14:paraId="21FAA7A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4300E0B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2021</w:t>
            </w:r>
          </w:p>
        </w:tc>
        <w:tc>
          <w:tcPr>
            <w:tcW w:w="1911" w:type="dxa"/>
            <w:vAlign w:val="center"/>
          </w:tcPr>
          <w:p w14:paraId="13BA827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62</w:t>
            </w:r>
          </w:p>
        </w:tc>
        <w:tc>
          <w:tcPr>
            <w:tcW w:w="2241" w:type="dxa"/>
            <w:vAlign w:val="center"/>
          </w:tcPr>
          <w:p w14:paraId="752BAD80" w14:textId="36289104" w:rsidR="0076708D" w:rsidRPr="00A1769A" w:rsidRDefault="00FC37A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  <w:tc>
          <w:tcPr>
            <w:tcW w:w="2500" w:type="dxa"/>
            <w:vAlign w:val="center"/>
          </w:tcPr>
          <w:p w14:paraId="27ABF007" w14:textId="61E1DA27" w:rsidR="0076708D" w:rsidRPr="00A1769A" w:rsidRDefault="00FC37A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</w:t>
            </w:r>
            <w:r w:rsidR="00EB1610">
              <w:rPr>
                <w:rFonts w:ascii="Avenir Next LT Pro" w:hAnsi="Avenir Next LT Pro"/>
              </w:rPr>
              <w:t>1</w:t>
            </w:r>
          </w:p>
        </w:tc>
        <w:tc>
          <w:tcPr>
            <w:tcW w:w="2183" w:type="dxa"/>
            <w:vAlign w:val="center"/>
          </w:tcPr>
          <w:p w14:paraId="0A23FF02" w14:textId="13D1877E" w:rsidR="0076708D" w:rsidRPr="00A1769A" w:rsidRDefault="00FC37A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</w:t>
            </w:r>
          </w:p>
        </w:tc>
      </w:tr>
      <w:tr w:rsidR="0076708D" w:rsidRPr="00A1769A" w14:paraId="39B3817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27FD6BE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2022</w:t>
            </w:r>
          </w:p>
        </w:tc>
        <w:tc>
          <w:tcPr>
            <w:tcW w:w="1911" w:type="dxa"/>
            <w:vAlign w:val="center"/>
          </w:tcPr>
          <w:p w14:paraId="40227C40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73</w:t>
            </w:r>
          </w:p>
        </w:tc>
        <w:tc>
          <w:tcPr>
            <w:tcW w:w="2241" w:type="dxa"/>
            <w:vAlign w:val="center"/>
          </w:tcPr>
          <w:p w14:paraId="06058795" w14:textId="3265CD9E" w:rsidR="008E1A89" w:rsidRPr="00A1769A" w:rsidRDefault="00200F50" w:rsidP="003B6AA1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1D2F1AED" w14:textId="0CF0906C" w:rsidR="0076708D" w:rsidRPr="00A1769A" w:rsidRDefault="00B31A43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61</w:t>
            </w:r>
          </w:p>
        </w:tc>
        <w:tc>
          <w:tcPr>
            <w:tcW w:w="2183" w:type="dxa"/>
            <w:vAlign w:val="center"/>
          </w:tcPr>
          <w:p w14:paraId="3328A7A0" w14:textId="56170BF3" w:rsidR="0076708D" w:rsidRPr="00A1769A" w:rsidRDefault="004C140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  <w:r w:rsidR="000D21C5">
              <w:rPr>
                <w:rFonts w:ascii="Avenir Next LT Pro" w:hAnsi="Avenir Next LT Pro"/>
              </w:rPr>
              <w:t>8</w:t>
            </w:r>
          </w:p>
        </w:tc>
      </w:tr>
      <w:tr w:rsidR="0076708D" w:rsidRPr="00A1769A" w14:paraId="3BC94D5B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36797723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2023</w:t>
            </w:r>
          </w:p>
        </w:tc>
        <w:tc>
          <w:tcPr>
            <w:tcW w:w="1911" w:type="dxa"/>
            <w:vAlign w:val="center"/>
          </w:tcPr>
          <w:p w14:paraId="6CDC3E32" w14:textId="4233D696" w:rsidR="0076708D" w:rsidRPr="00A1769A" w:rsidRDefault="002C1135" w:rsidP="009346FD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69</w:t>
            </w:r>
          </w:p>
        </w:tc>
        <w:tc>
          <w:tcPr>
            <w:tcW w:w="2241" w:type="dxa"/>
            <w:vAlign w:val="center"/>
          </w:tcPr>
          <w:p w14:paraId="584B051D" w14:textId="0F27753A" w:rsidR="0076708D" w:rsidRPr="00A1769A" w:rsidRDefault="00780D37" w:rsidP="00FF72F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51101A9A" w14:textId="7986647C" w:rsidR="0076708D" w:rsidRPr="00A1769A" w:rsidRDefault="00F12FA1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</w:t>
            </w:r>
            <w:r w:rsidR="00EB1610">
              <w:rPr>
                <w:rFonts w:ascii="Avenir Next LT Pro" w:hAnsi="Avenir Next LT Pro"/>
              </w:rPr>
              <w:t>3</w:t>
            </w:r>
          </w:p>
        </w:tc>
        <w:tc>
          <w:tcPr>
            <w:tcW w:w="2183" w:type="dxa"/>
            <w:vAlign w:val="center"/>
          </w:tcPr>
          <w:p w14:paraId="71D96374" w14:textId="5932A0E2" w:rsidR="0076708D" w:rsidRPr="00A1769A" w:rsidRDefault="00D47930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  <w:r w:rsidR="0075442C">
              <w:rPr>
                <w:rFonts w:ascii="Avenir Next LT Pro" w:hAnsi="Avenir Next LT Pro"/>
              </w:rPr>
              <w:t>4</w:t>
            </w:r>
          </w:p>
        </w:tc>
      </w:tr>
      <w:tr w:rsidR="009D33CB" w:rsidRPr="00A1769A" w14:paraId="23284CA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04A83CE1" w14:textId="2B38519F" w:rsidR="009D33CB" w:rsidRPr="00A1769A" w:rsidRDefault="009D33CB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2024</w:t>
            </w:r>
          </w:p>
        </w:tc>
        <w:tc>
          <w:tcPr>
            <w:tcW w:w="1911" w:type="dxa"/>
            <w:vAlign w:val="center"/>
          </w:tcPr>
          <w:p w14:paraId="45343C89" w14:textId="5A3F1AD5" w:rsidR="009D33CB" w:rsidRDefault="009E039E" w:rsidP="009346FD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72</w:t>
            </w:r>
          </w:p>
        </w:tc>
        <w:tc>
          <w:tcPr>
            <w:tcW w:w="2241" w:type="dxa"/>
            <w:vAlign w:val="center"/>
          </w:tcPr>
          <w:p w14:paraId="00032179" w14:textId="25B24039" w:rsidR="009D33CB" w:rsidRDefault="008A140A" w:rsidP="00FF72F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4</w:t>
            </w:r>
            <w:r w:rsidR="00780D37">
              <w:rPr>
                <w:rFonts w:ascii="Avenir Next LT Pro" w:hAnsi="Avenir Next LT Pro"/>
              </w:rPr>
              <w:t>3</w:t>
            </w:r>
          </w:p>
        </w:tc>
        <w:tc>
          <w:tcPr>
            <w:tcW w:w="2500" w:type="dxa"/>
            <w:vAlign w:val="center"/>
          </w:tcPr>
          <w:p w14:paraId="1327E04C" w14:textId="3D8EF7F4" w:rsidR="009D33CB" w:rsidRDefault="00886A67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  <w:r w:rsidR="00FB378B">
              <w:rPr>
                <w:rFonts w:ascii="Avenir Next LT Pro" w:hAnsi="Avenir Next LT Pro"/>
              </w:rPr>
              <w:t>8</w:t>
            </w:r>
          </w:p>
        </w:tc>
        <w:tc>
          <w:tcPr>
            <w:tcW w:w="2183" w:type="dxa"/>
            <w:vAlign w:val="center"/>
          </w:tcPr>
          <w:p w14:paraId="7BD48612" w14:textId="362F1741" w:rsidR="009D33CB" w:rsidRDefault="00525136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</w:t>
            </w:r>
          </w:p>
        </w:tc>
      </w:tr>
    </w:tbl>
    <w:p w14:paraId="34A96B69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</w:rPr>
      </w:pPr>
    </w:p>
    <w:p w14:paraId="686E5CB4" w14:textId="2429B56E" w:rsidR="0076708D" w:rsidRPr="00A1769A" w:rsidRDefault="0076708D" w:rsidP="00935F1B">
      <w:pPr>
        <w:pStyle w:val="Sinespaciado"/>
        <w:rPr>
          <w:rFonts w:ascii="Avenir Next LT Pro" w:hAnsi="Avenir Next LT Pro"/>
          <w:b/>
          <w:bCs/>
        </w:rPr>
      </w:pPr>
    </w:p>
    <w:p w14:paraId="6CE751CF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</w:rPr>
      </w:pPr>
    </w:p>
    <w:p w14:paraId="013A6C09" w14:textId="766A9C1D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 xml:space="preserve">Fecha de actualización:  </w:t>
      </w:r>
      <w:r w:rsidR="00137597">
        <w:rPr>
          <w:rFonts w:ascii="Avenir Next LT Pro" w:hAnsi="Avenir Next LT Pro"/>
        </w:rPr>
        <w:t>seis</w:t>
      </w:r>
      <w:r w:rsidR="006B1B09">
        <w:rPr>
          <w:rFonts w:ascii="Avenir Next LT Pro" w:hAnsi="Avenir Next LT Pro"/>
        </w:rPr>
        <w:t xml:space="preserve"> de </w:t>
      </w:r>
      <w:r w:rsidR="00137597">
        <w:rPr>
          <w:rFonts w:ascii="Avenir Next LT Pro" w:hAnsi="Avenir Next LT Pro"/>
        </w:rPr>
        <w:t>enero</w:t>
      </w:r>
      <w:r w:rsidRPr="00A1769A">
        <w:rPr>
          <w:rFonts w:ascii="Avenir Next LT Pro" w:hAnsi="Avenir Next LT Pro"/>
        </w:rPr>
        <w:t xml:space="preserve"> de dos mil </w:t>
      </w:r>
      <w:r w:rsidR="00116343">
        <w:rPr>
          <w:rFonts w:ascii="Avenir Next LT Pro" w:hAnsi="Avenir Next LT Pro"/>
        </w:rPr>
        <w:t>veintic</w:t>
      </w:r>
      <w:r w:rsidR="00137597">
        <w:rPr>
          <w:rFonts w:ascii="Avenir Next LT Pro" w:hAnsi="Avenir Next LT Pro"/>
        </w:rPr>
        <w:t>inco</w:t>
      </w:r>
      <w:r w:rsidRPr="00A1769A">
        <w:rPr>
          <w:rFonts w:ascii="Avenir Next LT Pro" w:hAnsi="Avenir Next LT Pro"/>
        </w:rPr>
        <w:t>.</w:t>
      </w:r>
    </w:p>
    <w:p w14:paraId="394F563C" w14:textId="77777777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>Actualizado: Saul Eulises Pachicano de la Cruz.</w:t>
      </w:r>
    </w:p>
    <w:p w14:paraId="33AC01C8" w14:textId="77777777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>Autorizado: Dania Guadalupe Lara Arredondo.</w:t>
      </w: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86600B">
      <w:headerReference w:type="default" r:id="rId8"/>
      <w:footerReference w:type="default" r:id="rId9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66CE2" w14:textId="77777777" w:rsidR="0086600B" w:rsidRDefault="0086600B" w:rsidP="00A71679">
      <w:pPr>
        <w:spacing w:after="0" w:line="240" w:lineRule="auto"/>
      </w:pPr>
      <w:r>
        <w:separator/>
      </w:r>
    </w:p>
  </w:endnote>
  <w:endnote w:type="continuationSeparator" w:id="0">
    <w:p w14:paraId="11E0005F" w14:textId="77777777" w:rsidR="0086600B" w:rsidRDefault="0086600B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4F121" w14:textId="77777777" w:rsidR="0086600B" w:rsidRDefault="0086600B" w:rsidP="00A71679">
      <w:pPr>
        <w:spacing w:after="0" w:line="240" w:lineRule="auto"/>
      </w:pPr>
      <w:r>
        <w:separator/>
      </w:r>
    </w:p>
  </w:footnote>
  <w:footnote w:type="continuationSeparator" w:id="0">
    <w:p w14:paraId="1127C297" w14:textId="77777777" w:rsidR="0086600B" w:rsidRDefault="0086600B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63B0"/>
    <w:rsid w:val="00034082"/>
    <w:rsid w:val="0003547E"/>
    <w:rsid w:val="000500AB"/>
    <w:rsid w:val="00054645"/>
    <w:rsid w:val="000C5E54"/>
    <w:rsid w:val="000D21C5"/>
    <w:rsid w:val="000D69B4"/>
    <w:rsid w:val="000E17C0"/>
    <w:rsid w:val="000F1FF4"/>
    <w:rsid w:val="000F4673"/>
    <w:rsid w:val="0011497A"/>
    <w:rsid w:val="00116343"/>
    <w:rsid w:val="00137597"/>
    <w:rsid w:val="0019698E"/>
    <w:rsid w:val="001D0611"/>
    <w:rsid w:val="001D2D68"/>
    <w:rsid w:val="001E74EB"/>
    <w:rsid w:val="001E7841"/>
    <w:rsid w:val="00200F50"/>
    <w:rsid w:val="002375EC"/>
    <w:rsid w:val="00254424"/>
    <w:rsid w:val="00257238"/>
    <w:rsid w:val="00275D6A"/>
    <w:rsid w:val="002962CE"/>
    <w:rsid w:val="002C1135"/>
    <w:rsid w:val="002F03CC"/>
    <w:rsid w:val="00300981"/>
    <w:rsid w:val="003055AE"/>
    <w:rsid w:val="00305EE3"/>
    <w:rsid w:val="00324B60"/>
    <w:rsid w:val="0032528A"/>
    <w:rsid w:val="00332D07"/>
    <w:rsid w:val="00344449"/>
    <w:rsid w:val="00374144"/>
    <w:rsid w:val="003831A4"/>
    <w:rsid w:val="00385137"/>
    <w:rsid w:val="003B1781"/>
    <w:rsid w:val="003B6752"/>
    <w:rsid w:val="003B6AA1"/>
    <w:rsid w:val="003D7E9B"/>
    <w:rsid w:val="003F2816"/>
    <w:rsid w:val="003F662A"/>
    <w:rsid w:val="00405EDD"/>
    <w:rsid w:val="00432394"/>
    <w:rsid w:val="00455911"/>
    <w:rsid w:val="00461707"/>
    <w:rsid w:val="00473704"/>
    <w:rsid w:val="00482499"/>
    <w:rsid w:val="00491640"/>
    <w:rsid w:val="004A4D56"/>
    <w:rsid w:val="004C1409"/>
    <w:rsid w:val="004D1A66"/>
    <w:rsid w:val="004F00D3"/>
    <w:rsid w:val="0051693E"/>
    <w:rsid w:val="00525136"/>
    <w:rsid w:val="005436A8"/>
    <w:rsid w:val="005464D3"/>
    <w:rsid w:val="00566FB0"/>
    <w:rsid w:val="005817E5"/>
    <w:rsid w:val="00590ABB"/>
    <w:rsid w:val="005942A0"/>
    <w:rsid w:val="00594591"/>
    <w:rsid w:val="005964C2"/>
    <w:rsid w:val="005A5765"/>
    <w:rsid w:val="005D23E5"/>
    <w:rsid w:val="005D7ADC"/>
    <w:rsid w:val="005F34A0"/>
    <w:rsid w:val="00641F82"/>
    <w:rsid w:val="00644E0B"/>
    <w:rsid w:val="00677E14"/>
    <w:rsid w:val="006833A0"/>
    <w:rsid w:val="00684C7A"/>
    <w:rsid w:val="006B1488"/>
    <w:rsid w:val="006B1B09"/>
    <w:rsid w:val="006B4194"/>
    <w:rsid w:val="006C1398"/>
    <w:rsid w:val="006C4D4C"/>
    <w:rsid w:val="006E4543"/>
    <w:rsid w:val="006F23A8"/>
    <w:rsid w:val="00706B3A"/>
    <w:rsid w:val="00746568"/>
    <w:rsid w:val="0075442C"/>
    <w:rsid w:val="0076708D"/>
    <w:rsid w:val="0077076B"/>
    <w:rsid w:val="00773F57"/>
    <w:rsid w:val="00775277"/>
    <w:rsid w:val="00780D37"/>
    <w:rsid w:val="007B1E02"/>
    <w:rsid w:val="007B3980"/>
    <w:rsid w:val="007C420D"/>
    <w:rsid w:val="007E09E3"/>
    <w:rsid w:val="00804758"/>
    <w:rsid w:val="0080507A"/>
    <w:rsid w:val="008075CE"/>
    <w:rsid w:val="00807624"/>
    <w:rsid w:val="00807C83"/>
    <w:rsid w:val="0081319F"/>
    <w:rsid w:val="0081740C"/>
    <w:rsid w:val="00822980"/>
    <w:rsid w:val="008260C4"/>
    <w:rsid w:val="00826357"/>
    <w:rsid w:val="00852A7F"/>
    <w:rsid w:val="00856478"/>
    <w:rsid w:val="0086600B"/>
    <w:rsid w:val="00886A67"/>
    <w:rsid w:val="00891297"/>
    <w:rsid w:val="00891404"/>
    <w:rsid w:val="008A140A"/>
    <w:rsid w:val="008D4379"/>
    <w:rsid w:val="008E1A89"/>
    <w:rsid w:val="008E3BE7"/>
    <w:rsid w:val="008F7C72"/>
    <w:rsid w:val="00900B12"/>
    <w:rsid w:val="009100A8"/>
    <w:rsid w:val="009204F3"/>
    <w:rsid w:val="009346FD"/>
    <w:rsid w:val="00935F1B"/>
    <w:rsid w:val="00957457"/>
    <w:rsid w:val="00967FC4"/>
    <w:rsid w:val="00975407"/>
    <w:rsid w:val="009879B2"/>
    <w:rsid w:val="009A3591"/>
    <w:rsid w:val="009D33CB"/>
    <w:rsid w:val="009D63AE"/>
    <w:rsid w:val="009E039E"/>
    <w:rsid w:val="009E0DCF"/>
    <w:rsid w:val="009E41BA"/>
    <w:rsid w:val="009E6071"/>
    <w:rsid w:val="00A42290"/>
    <w:rsid w:val="00A46EBC"/>
    <w:rsid w:val="00A71679"/>
    <w:rsid w:val="00A87181"/>
    <w:rsid w:val="00A91AE3"/>
    <w:rsid w:val="00AA492A"/>
    <w:rsid w:val="00AA5C73"/>
    <w:rsid w:val="00AB0668"/>
    <w:rsid w:val="00AB22C2"/>
    <w:rsid w:val="00AE7AA0"/>
    <w:rsid w:val="00B15664"/>
    <w:rsid w:val="00B21043"/>
    <w:rsid w:val="00B216E0"/>
    <w:rsid w:val="00B31A43"/>
    <w:rsid w:val="00B56D11"/>
    <w:rsid w:val="00B576EE"/>
    <w:rsid w:val="00B84664"/>
    <w:rsid w:val="00BA3CA2"/>
    <w:rsid w:val="00BA59CA"/>
    <w:rsid w:val="00BE634F"/>
    <w:rsid w:val="00BE7D1B"/>
    <w:rsid w:val="00C0566D"/>
    <w:rsid w:val="00C07DAA"/>
    <w:rsid w:val="00C109D2"/>
    <w:rsid w:val="00C1715A"/>
    <w:rsid w:val="00C27F38"/>
    <w:rsid w:val="00C44652"/>
    <w:rsid w:val="00C7148C"/>
    <w:rsid w:val="00C77F3E"/>
    <w:rsid w:val="00C97E85"/>
    <w:rsid w:val="00CA423C"/>
    <w:rsid w:val="00CA7552"/>
    <w:rsid w:val="00CD0655"/>
    <w:rsid w:val="00CD181A"/>
    <w:rsid w:val="00CE3201"/>
    <w:rsid w:val="00D20BEA"/>
    <w:rsid w:val="00D40A7D"/>
    <w:rsid w:val="00D47930"/>
    <w:rsid w:val="00D66895"/>
    <w:rsid w:val="00D71BF8"/>
    <w:rsid w:val="00DD6D6E"/>
    <w:rsid w:val="00DE02B2"/>
    <w:rsid w:val="00DF18F8"/>
    <w:rsid w:val="00E02CF4"/>
    <w:rsid w:val="00E13234"/>
    <w:rsid w:val="00E1408A"/>
    <w:rsid w:val="00E27EED"/>
    <w:rsid w:val="00E5241F"/>
    <w:rsid w:val="00E67531"/>
    <w:rsid w:val="00E71425"/>
    <w:rsid w:val="00E82EB9"/>
    <w:rsid w:val="00E846E7"/>
    <w:rsid w:val="00E9254B"/>
    <w:rsid w:val="00E93487"/>
    <w:rsid w:val="00EA76C8"/>
    <w:rsid w:val="00EB036B"/>
    <w:rsid w:val="00EB1610"/>
    <w:rsid w:val="00F0216C"/>
    <w:rsid w:val="00F12FA1"/>
    <w:rsid w:val="00F15AF6"/>
    <w:rsid w:val="00F176FA"/>
    <w:rsid w:val="00F57EB7"/>
    <w:rsid w:val="00F61EDF"/>
    <w:rsid w:val="00F90BDA"/>
    <w:rsid w:val="00FB378B"/>
    <w:rsid w:val="00FC37A9"/>
    <w:rsid w:val="00FC4380"/>
    <w:rsid w:val="00FD7E3D"/>
    <w:rsid w:val="00FE23DF"/>
    <w:rsid w:val="00FE4741"/>
    <w:rsid w:val="00FF252C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67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2265-C16F-4228-B474-95FC76C0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2024-03-12T18:06:00Z</cp:lastPrinted>
  <dcterms:created xsi:type="dcterms:W3CDTF">2025-01-15T17:57:00Z</dcterms:created>
  <dcterms:modified xsi:type="dcterms:W3CDTF">2025-01-15T17:57:00Z</dcterms:modified>
</cp:coreProperties>
</file>