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1A388A" w14:textId="77777777" w:rsidR="00B21110" w:rsidRPr="00647646" w:rsidRDefault="00B21110" w:rsidP="00B21110">
      <w:pPr>
        <w:pStyle w:val="Sinespaciado"/>
        <w:ind w:left="-1134"/>
        <w:jc w:val="center"/>
        <w:rPr>
          <w:rFonts w:ascii="Avenir Next LT Pro" w:hAnsi="Avenir Next LT Pro"/>
          <w:b/>
          <w:bCs/>
          <w:sz w:val="32"/>
          <w:szCs w:val="32"/>
        </w:rPr>
      </w:pPr>
      <w:r w:rsidRPr="00647646">
        <w:rPr>
          <w:rFonts w:ascii="Avenir Next LT Pro" w:hAnsi="Avenir Next LT Pro"/>
          <w:b/>
          <w:bCs/>
          <w:sz w:val="32"/>
          <w:szCs w:val="32"/>
        </w:rPr>
        <w:t>PLENO DE LA SALA SUPERIOR</w:t>
      </w:r>
    </w:p>
    <w:p w14:paraId="5BF807D5" w14:textId="0592AF6F" w:rsidR="00B21110" w:rsidRPr="00647646" w:rsidRDefault="003D06FA" w:rsidP="00B21110">
      <w:pPr>
        <w:pStyle w:val="Sinespaciado"/>
        <w:ind w:left="-1134"/>
        <w:jc w:val="center"/>
        <w:rPr>
          <w:rFonts w:ascii="Avenir Next LT Pro" w:hAnsi="Avenir Next LT Pro"/>
          <w:b/>
          <w:bCs/>
          <w:sz w:val="32"/>
          <w:szCs w:val="32"/>
        </w:rPr>
      </w:pPr>
      <w:r>
        <w:rPr>
          <w:rFonts w:ascii="Avenir Next LT Pro" w:hAnsi="Avenir Next LT Pro"/>
          <w:b/>
          <w:bCs/>
          <w:sz w:val="32"/>
          <w:szCs w:val="32"/>
        </w:rPr>
        <w:t>DICIEMBRE</w:t>
      </w:r>
      <w:r w:rsidR="00B21110" w:rsidRPr="00647646">
        <w:rPr>
          <w:rFonts w:ascii="Avenir Next LT Pro" w:hAnsi="Avenir Next LT Pro"/>
          <w:b/>
          <w:bCs/>
          <w:sz w:val="32"/>
          <w:szCs w:val="32"/>
        </w:rPr>
        <w:t xml:space="preserve"> </w:t>
      </w:r>
      <w:r w:rsidR="002B15FE" w:rsidRPr="00647646">
        <w:rPr>
          <w:rFonts w:ascii="Avenir Next LT Pro" w:hAnsi="Avenir Next LT Pro"/>
          <w:b/>
          <w:bCs/>
          <w:sz w:val="32"/>
          <w:szCs w:val="32"/>
        </w:rPr>
        <w:t>2024</w:t>
      </w:r>
      <w:r w:rsidR="00B21110" w:rsidRPr="00647646">
        <w:rPr>
          <w:rFonts w:ascii="Avenir Next LT Pro" w:hAnsi="Avenir Next LT Pro"/>
          <w:b/>
          <w:bCs/>
          <w:sz w:val="32"/>
          <w:szCs w:val="32"/>
        </w:rPr>
        <w:t>.</w:t>
      </w:r>
    </w:p>
    <w:p w14:paraId="55516067" w14:textId="77777777" w:rsidR="00B21110" w:rsidRPr="00647646" w:rsidRDefault="00B21110" w:rsidP="00B21110">
      <w:pPr>
        <w:pStyle w:val="Sinespaciado"/>
        <w:ind w:hanging="1134"/>
        <w:rPr>
          <w:rFonts w:ascii="Avenir Next LT Pro" w:hAnsi="Avenir Next LT Pro"/>
          <w:b/>
          <w:bCs/>
          <w:sz w:val="24"/>
          <w:szCs w:val="24"/>
        </w:rPr>
      </w:pPr>
    </w:p>
    <w:p w14:paraId="2DEC2A15" w14:textId="77777777" w:rsidR="00B21110" w:rsidRPr="00647646" w:rsidRDefault="00B21110" w:rsidP="00B21110">
      <w:pPr>
        <w:pStyle w:val="Sinespaciado"/>
        <w:rPr>
          <w:rFonts w:ascii="Avenir Next LT Pro" w:hAnsi="Avenir Next LT Pro"/>
          <w:b/>
          <w:bCs/>
          <w:sz w:val="24"/>
          <w:szCs w:val="24"/>
        </w:rPr>
      </w:pPr>
    </w:p>
    <w:p w14:paraId="5817393A" w14:textId="77777777" w:rsidR="00B21110" w:rsidRPr="00647646" w:rsidRDefault="00B21110" w:rsidP="00B21110">
      <w:pPr>
        <w:pStyle w:val="Sinespaciado"/>
        <w:ind w:hanging="142"/>
        <w:rPr>
          <w:rFonts w:ascii="Avenir Next LT Pro" w:hAnsi="Avenir Next LT Pro"/>
          <w:b/>
          <w:bCs/>
          <w:sz w:val="24"/>
          <w:szCs w:val="24"/>
        </w:rPr>
      </w:pPr>
      <w:r w:rsidRPr="00647646">
        <w:rPr>
          <w:rFonts w:ascii="Avenir Next LT Pro" w:hAnsi="Avenir Next LT Pro"/>
          <w:b/>
          <w:bCs/>
          <w:sz w:val="24"/>
          <w:szCs w:val="24"/>
        </w:rPr>
        <w:t xml:space="preserve">ARTÍCULO 34 </w:t>
      </w:r>
    </w:p>
    <w:p w14:paraId="0DFB387F" w14:textId="77777777" w:rsidR="00B21110" w:rsidRPr="00647646" w:rsidRDefault="00B21110" w:rsidP="00B21110">
      <w:pPr>
        <w:pStyle w:val="Sinespaciado"/>
        <w:ind w:hanging="1134"/>
        <w:rPr>
          <w:rFonts w:ascii="Avenir Next LT Pro" w:hAnsi="Avenir Next LT Pro"/>
          <w:b/>
          <w:bCs/>
          <w:sz w:val="24"/>
          <w:szCs w:val="24"/>
        </w:rPr>
      </w:pPr>
    </w:p>
    <w:tbl>
      <w:tblPr>
        <w:tblStyle w:val="Tablaconcuadrcula"/>
        <w:tblpPr w:leftFromText="141" w:rightFromText="141" w:vertAnchor="text" w:horzAnchor="margin" w:tblpXSpec="center" w:tblpY="686"/>
        <w:tblOverlap w:val="never"/>
        <w:tblW w:w="10201" w:type="dxa"/>
        <w:tblLayout w:type="fixed"/>
        <w:tblLook w:val="04A0" w:firstRow="1" w:lastRow="0" w:firstColumn="1" w:lastColumn="0" w:noHBand="0" w:noVBand="1"/>
      </w:tblPr>
      <w:tblGrid>
        <w:gridCol w:w="2062"/>
        <w:gridCol w:w="2062"/>
        <w:gridCol w:w="2067"/>
        <w:gridCol w:w="2067"/>
        <w:gridCol w:w="1943"/>
      </w:tblGrid>
      <w:tr w:rsidR="00F65678" w:rsidRPr="00552C9D" w14:paraId="06E4861F" w14:textId="77777777" w:rsidTr="00F65678">
        <w:trPr>
          <w:trHeight w:val="415"/>
        </w:trPr>
        <w:tc>
          <w:tcPr>
            <w:tcW w:w="10201" w:type="dxa"/>
            <w:gridSpan w:val="5"/>
            <w:shd w:val="clear" w:color="auto" w:fill="auto"/>
            <w:vAlign w:val="center"/>
          </w:tcPr>
          <w:p w14:paraId="33E58322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Materia Fiscal y Administrativa</w:t>
            </w:r>
          </w:p>
        </w:tc>
      </w:tr>
      <w:tr w:rsidR="00F65678" w:rsidRPr="00552C9D" w14:paraId="7AF88892" w14:textId="77777777" w:rsidTr="00F65678">
        <w:trPr>
          <w:trHeight w:val="415"/>
        </w:trPr>
        <w:tc>
          <w:tcPr>
            <w:tcW w:w="2062" w:type="dxa"/>
            <w:vMerge w:val="restart"/>
            <w:vAlign w:val="center"/>
          </w:tcPr>
          <w:p w14:paraId="07FA13C7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Año</w:t>
            </w:r>
          </w:p>
        </w:tc>
        <w:tc>
          <w:tcPr>
            <w:tcW w:w="6196" w:type="dxa"/>
            <w:gridSpan w:val="3"/>
            <w:vAlign w:val="center"/>
          </w:tcPr>
          <w:p w14:paraId="1FD57BD5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Apelaciones</w:t>
            </w:r>
          </w:p>
        </w:tc>
        <w:tc>
          <w:tcPr>
            <w:tcW w:w="1943" w:type="dxa"/>
            <w:vMerge w:val="restart"/>
            <w:vAlign w:val="center"/>
          </w:tcPr>
          <w:p w14:paraId="5BFC593E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Amparos</w:t>
            </w:r>
          </w:p>
        </w:tc>
      </w:tr>
      <w:tr w:rsidR="00F65678" w:rsidRPr="00552C9D" w14:paraId="5A18A90D" w14:textId="77777777" w:rsidTr="00F65678">
        <w:trPr>
          <w:trHeight w:val="415"/>
        </w:trPr>
        <w:tc>
          <w:tcPr>
            <w:tcW w:w="2062" w:type="dxa"/>
            <w:vMerge/>
            <w:vAlign w:val="center"/>
          </w:tcPr>
          <w:p w14:paraId="2B9C3C35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</w:p>
        </w:tc>
        <w:tc>
          <w:tcPr>
            <w:tcW w:w="2062" w:type="dxa"/>
            <w:vAlign w:val="center"/>
          </w:tcPr>
          <w:p w14:paraId="23BE77C6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Turnadas</w:t>
            </w:r>
          </w:p>
        </w:tc>
        <w:tc>
          <w:tcPr>
            <w:tcW w:w="2067" w:type="dxa"/>
            <w:vAlign w:val="center"/>
          </w:tcPr>
          <w:p w14:paraId="5D05BB73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Tramite</w:t>
            </w:r>
          </w:p>
        </w:tc>
        <w:tc>
          <w:tcPr>
            <w:tcW w:w="2067" w:type="dxa"/>
            <w:vAlign w:val="center"/>
          </w:tcPr>
          <w:p w14:paraId="3FF5006C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Resueltas</w:t>
            </w:r>
          </w:p>
        </w:tc>
        <w:tc>
          <w:tcPr>
            <w:tcW w:w="1943" w:type="dxa"/>
            <w:vMerge/>
            <w:vAlign w:val="center"/>
          </w:tcPr>
          <w:p w14:paraId="351DFA50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</w:p>
        </w:tc>
      </w:tr>
      <w:tr w:rsidR="00F65678" w:rsidRPr="00552C9D" w14:paraId="4EF5C70E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7F1A3754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2018</w:t>
            </w:r>
          </w:p>
        </w:tc>
        <w:tc>
          <w:tcPr>
            <w:tcW w:w="2062" w:type="dxa"/>
            <w:vAlign w:val="center"/>
          </w:tcPr>
          <w:p w14:paraId="2BC98907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39</w:t>
            </w:r>
          </w:p>
        </w:tc>
        <w:tc>
          <w:tcPr>
            <w:tcW w:w="2067" w:type="dxa"/>
            <w:vAlign w:val="center"/>
          </w:tcPr>
          <w:p w14:paraId="6D9AA097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2</w:t>
            </w:r>
          </w:p>
        </w:tc>
        <w:tc>
          <w:tcPr>
            <w:tcW w:w="2067" w:type="dxa"/>
            <w:vAlign w:val="center"/>
          </w:tcPr>
          <w:p w14:paraId="600FB2E5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37</w:t>
            </w:r>
          </w:p>
        </w:tc>
        <w:tc>
          <w:tcPr>
            <w:tcW w:w="1943" w:type="dxa"/>
            <w:vAlign w:val="center"/>
          </w:tcPr>
          <w:p w14:paraId="554EE6B6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</w:tr>
      <w:tr w:rsidR="00F65678" w:rsidRPr="00552C9D" w14:paraId="2B9E48A8" w14:textId="77777777" w:rsidTr="00F65678">
        <w:trPr>
          <w:trHeight w:val="415"/>
        </w:trPr>
        <w:tc>
          <w:tcPr>
            <w:tcW w:w="2062" w:type="dxa"/>
            <w:vAlign w:val="center"/>
          </w:tcPr>
          <w:p w14:paraId="45E2565A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2019</w:t>
            </w:r>
          </w:p>
        </w:tc>
        <w:tc>
          <w:tcPr>
            <w:tcW w:w="2062" w:type="dxa"/>
            <w:vAlign w:val="center"/>
          </w:tcPr>
          <w:p w14:paraId="1717949D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73</w:t>
            </w:r>
          </w:p>
        </w:tc>
        <w:tc>
          <w:tcPr>
            <w:tcW w:w="2067" w:type="dxa"/>
            <w:vAlign w:val="center"/>
          </w:tcPr>
          <w:p w14:paraId="7EACFD4F" w14:textId="2B7AEAC2" w:rsidR="00F65678" w:rsidRPr="00552C9D" w:rsidRDefault="00636793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  <w:tc>
          <w:tcPr>
            <w:tcW w:w="2067" w:type="dxa"/>
            <w:vAlign w:val="center"/>
          </w:tcPr>
          <w:p w14:paraId="4D7EBB55" w14:textId="4ABC431C" w:rsidR="00F65678" w:rsidRPr="00552C9D" w:rsidRDefault="00636793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73</w:t>
            </w:r>
          </w:p>
        </w:tc>
        <w:tc>
          <w:tcPr>
            <w:tcW w:w="1943" w:type="dxa"/>
            <w:vAlign w:val="center"/>
          </w:tcPr>
          <w:p w14:paraId="11E57AA2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</w:tr>
      <w:tr w:rsidR="00F65678" w:rsidRPr="00552C9D" w14:paraId="033E5EC6" w14:textId="77777777" w:rsidTr="00F65678">
        <w:trPr>
          <w:trHeight w:val="415"/>
        </w:trPr>
        <w:tc>
          <w:tcPr>
            <w:tcW w:w="2062" w:type="dxa"/>
            <w:vAlign w:val="center"/>
          </w:tcPr>
          <w:p w14:paraId="72562A86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2020</w:t>
            </w:r>
          </w:p>
        </w:tc>
        <w:tc>
          <w:tcPr>
            <w:tcW w:w="2062" w:type="dxa"/>
            <w:vAlign w:val="center"/>
          </w:tcPr>
          <w:p w14:paraId="6EAA3A2F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71</w:t>
            </w:r>
          </w:p>
        </w:tc>
        <w:tc>
          <w:tcPr>
            <w:tcW w:w="2067" w:type="dxa"/>
            <w:vAlign w:val="center"/>
          </w:tcPr>
          <w:p w14:paraId="1386FF4F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  <w:tc>
          <w:tcPr>
            <w:tcW w:w="2067" w:type="dxa"/>
            <w:vAlign w:val="center"/>
          </w:tcPr>
          <w:p w14:paraId="3CFD3245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71</w:t>
            </w:r>
          </w:p>
        </w:tc>
        <w:tc>
          <w:tcPr>
            <w:tcW w:w="1943" w:type="dxa"/>
            <w:vAlign w:val="center"/>
          </w:tcPr>
          <w:p w14:paraId="587E6039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</w:tr>
      <w:tr w:rsidR="00F65678" w:rsidRPr="00552C9D" w14:paraId="70BAD661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0AC69345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2021</w:t>
            </w:r>
          </w:p>
        </w:tc>
        <w:tc>
          <w:tcPr>
            <w:tcW w:w="2062" w:type="dxa"/>
            <w:vAlign w:val="center"/>
          </w:tcPr>
          <w:p w14:paraId="7F0C8087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96</w:t>
            </w:r>
          </w:p>
        </w:tc>
        <w:tc>
          <w:tcPr>
            <w:tcW w:w="2067" w:type="dxa"/>
            <w:vAlign w:val="center"/>
          </w:tcPr>
          <w:p w14:paraId="1DABB04C" w14:textId="45022133" w:rsidR="00F65678" w:rsidRPr="00552C9D" w:rsidRDefault="00191711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  <w:tc>
          <w:tcPr>
            <w:tcW w:w="2067" w:type="dxa"/>
            <w:vAlign w:val="center"/>
          </w:tcPr>
          <w:p w14:paraId="5E972880" w14:textId="3FEE3230" w:rsidR="00F65678" w:rsidRPr="00552C9D" w:rsidRDefault="00191711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91</w:t>
            </w:r>
          </w:p>
        </w:tc>
        <w:tc>
          <w:tcPr>
            <w:tcW w:w="1943" w:type="dxa"/>
            <w:vAlign w:val="center"/>
          </w:tcPr>
          <w:p w14:paraId="67F9AEFC" w14:textId="2E02947D" w:rsidR="00F65678" w:rsidRPr="00552C9D" w:rsidRDefault="00454A0C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5</w:t>
            </w:r>
          </w:p>
        </w:tc>
      </w:tr>
      <w:tr w:rsidR="00F65678" w:rsidRPr="00552C9D" w14:paraId="78C0D1D4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4ABF4977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2022</w:t>
            </w:r>
          </w:p>
        </w:tc>
        <w:tc>
          <w:tcPr>
            <w:tcW w:w="2062" w:type="dxa"/>
            <w:vAlign w:val="center"/>
          </w:tcPr>
          <w:p w14:paraId="27722862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61</w:t>
            </w:r>
          </w:p>
        </w:tc>
        <w:tc>
          <w:tcPr>
            <w:tcW w:w="2067" w:type="dxa"/>
            <w:vAlign w:val="center"/>
          </w:tcPr>
          <w:p w14:paraId="6183FC62" w14:textId="16EC3C14" w:rsidR="00F65678" w:rsidRPr="00552C9D" w:rsidRDefault="00C5299C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2</w:t>
            </w:r>
          </w:p>
        </w:tc>
        <w:tc>
          <w:tcPr>
            <w:tcW w:w="2067" w:type="dxa"/>
            <w:vAlign w:val="center"/>
          </w:tcPr>
          <w:p w14:paraId="1F763211" w14:textId="5636F6C6" w:rsidR="00F65678" w:rsidRPr="00552C9D" w:rsidRDefault="00C5299C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36</w:t>
            </w:r>
          </w:p>
        </w:tc>
        <w:tc>
          <w:tcPr>
            <w:tcW w:w="1943" w:type="dxa"/>
            <w:vAlign w:val="center"/>
          </w:tcPr>
          <w:p w14:paraId="146B7053" w14:textId="1B74C1E6" w:rsidR="00F65678" w:rsidRPr="00552C9D" w:rsidRDefault="00353A41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23</w:t>
            </w:r>
          </w:p>
        </w:tc>
      </w:tr>
      <w:tr w:rsidR="00F65678" w:rsidRPr="00552C9D" w14:paraId="648F4500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183E9C44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2023</w:t>
            </w:r>
          </w:p>
        </w:tc>
        <w:tc>
          <w:tcPr>
            <w:tcW w:w="2062" w:type="dxa"/>
            <w:vAlign w:val="center"/>
          </w:tcPr>
          <w:p w14:paraId="34FDA60F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59</w:t>
            </w:r>
          </w:p>
        </w:tc>
        <w:tc>
          <w:tcPr>
            <w:tcW w:w="2067" w:type="dxa"/>
            <w:vAlign w:val="center"/>
          </w:tcPr>
          <w:p w14:paraId="01D860A0" w14:textId="2AD11B0A" w:rsidR="00F65678" w:rsidRPr="00552C9D" w:rsidRDefault="00166D6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10</w:t>
            </w:r>
          </w:p>
        </w:tc>
        <w:tc>
          <w:tcPr>
            <w:tcW w:w="2067" w:type="dxa"/>
            <w:vAlign w:val="center"/>
          </w:tcPr>
          <w:p w14:paraId="64FF7F10" w14:textId="3EF52E87" w:rsidR="00F65678" w:rsidRPr="00552C9D" w:rsidRDefault="00166D6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22</w:t>
            </w:r>
          </w:p>
        </w:tc>
        <w:tc>
          <w:tcPr>
            <w:tcW w:w="1943" w:type="dxa"/>
            <w:vAlign w:val="center"/>
          </w:tcPr>
          <w:p w14:paraId="38BA77B6" w14:textId="4DB975F0" w:rsidR="00F65678" w:rsidRPr="00552C9D" w:rsidRDefault="003711AC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27</w:t>
            </w:r>
          </w:p>
        </w:tc>
      </w:tr>
      <w:tr w:rsidR="00F65678" w:rsidRPr="00552C9D" w14:paraId="1648CCA9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67570091" w14:textId="77777777" w:rsidR="00F65678" w:rsidRPr="00552C9D" w:rsidRDefault="00F65678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2024</w:t>
            </w:r>
          </w:p>
        </w:tc>
        <w:tc>
          <w:tcPr>
            <w:tcW w:w="2062" w:type="dxa"/>
            <w:vAlign w:val="center"/>
          </w:tcPr>
          <w:p w14:paraId="0FBDA647" w14:textId="7973C9C7" w:rsidR="00F65678" w:rsidRPr="00552C9D" w:rsidRDefault="002A0226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86</w:t>
            </w:r>
          </w:p>
        </w:tc>
        <w:tc>
          <w:tcPr>
            <w:tcW w:w="2067" w:type="dxa"/>
            <w:vAlign w:val="center"/>
          </w:tcPr>
          <w:p w14:paraId="79A09EF9" w14:textId="67620C7E" w:rsidR="00F65678" w:rsidRPr="00552C9D" w:rsidRDefault="0059710C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55</w:t>
            </w:r>
          </w:p>
        </w:tc>
        <w:tc>
          <w:tcPr>
            <w:tcW w:w="2067" w:type="dxa"/>
            <w:vAlign w:val="center"/>
          </w:tcPr>
          <w:p w14:paraId="21FFA49B" w14:textId="08562D75" w:rsidR="00F65678" w:rsidRPr="00552C9D" w:rsidRDefault="00CA6A5C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15</w:t>
            </w:r>
          </w:p>
        </w:tc>
        <w:tc>
          <w:tcPr>
            <w:tcW w:w="1943" w:type="dxa"/>
            <w:vAlign w:val="center"/>
          </w:tcPr>
          <w:p w14:paraId="675A8262" w14:textId="4B8B84BF" w:rsidR="00F65678" w:rsidRPr="00552C9D" w:rsidRDefault="0059710C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15</w:t>
            </w:r>
            <w:r w:rsidR="00F65678" w:rsidRPr="00552C9D">
              <w:rPr>
                <w:rStyle w:val="Refdenotaalpie"/>
                <w:rFonts w:ascii="Avenir Next LT Pro" w:hAnsi="Avenir Next LT Pro"/>
                <w:bCs/>
                <w:sz w:val="18"/>
                <w:szCs w:val="18"/>
              </w:rPr>
              <w:footnoteReference w:id="1"/>
            </w:r>
          </w:p>
        </w:tc>
      </w:tr>
    </w:tbl>
    <w:p w14:paraId="30288925" w14:textId="77777777" w:rsidR="00B21110" w:rsidRPr="00647646" w:rsidRDefault="00B21110" w:rsidP="00B21110">
      <w:pPr>
        <w:ind w:left="-142"/>
        <w:rPr>
          <w:rFonts w:ascii="Avenir Next LT Pro" w:hAnsi="Avenir Next LT Pro"/>
        </w:rPr>
      </w:pPr>
      <w:r w:rsidRPr="00647646">
        <w:rPr>
          <w:rFonts w:ascii="Avenir Next LT Pro" w:hAnsi="Avenir Next LT Pro"/>
          <w:b/>
          <w:bCs/>
        </w:rPr>
        <w:t xml:space="preserve"> FRACCIÓN V.- </w:t>
      </w:r>
      <w:r w:rsidRPr="00647646">
        <w:rPr>
          <w:rFonts w:ascii="Avenir Next LT Pro" w:hAnsi="Avenir Next LT Pro"/>
        </w:rPr>
        <w:t>Los principales indicadores sobre la actividad jurisdiccional que deberán incluir, al menos, los asuntos iniciados, en trámite y resueltos.</w:t>
      </w:r>
    </w:p>
    <w:tbl>
      <w:tblPr>
        <w:tblStyle w:val="Tablaconcuadrcula"/>
        <w:tblpPr w:leftFromText="141" w:rightFromText="141" w:vertAnchor="text" w:horzAnchor="margin" w:tblpXSpec="center" w:tblpY="1173"/>
        <w:tblOverlap w:val="never"/>
        <w:tblW w:w="10201" w:type="dxa"/>
        <w:tblLayout w:type="fixed"/>
        <w:tblLook w:val="04A0" w:firstRow="1" w:lastRow="0" w:firstColumn="1" w:lastColumn="0" w:noHBand="0" w:noVBand="1"/>
      </w:tblPr>
      <w:tblGrid>
        <w:gridCol w:w="2062"/>
        <w:gridCol w:w="2062"/>
        <w:gridCol w:w="2067"/>
        <w:gridCol w:w="2067"/>
        <w:gridCol w:w="1943"/>
      </w:tblGrid>
      <w:tr w:rsidR="00552C9D" w:rsidRPr="00552C9D" w14:paraId="40DE2611" w14:textId="77777777" w:rsidTr="00F65678">
        <w:trPr>
          <w:trHeight w:val="415"/>
        </w:trPr>
        <w:tc>
          <w:tcPr>
            <w:tcW w:w="10201" w:type="dxa"/>
            <w:gridSpan w:val="5"/>
            <w:shd w:val="clear" w:color="auto" w:fill="auto"/>
            <w:vAlign w:val="center"/>
          </w:tcPr>
          <w:p w14:paraId="7369E75F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Materia de Responsabilidad Administrativa</w:t>
            </w:r>
          </w:p>
        </w:tc>
      </w:tr>
      <w:tr w:rsidR="00552C9D" w:rsidRPr="00552C9D" w14:paraId="63872A2F" w14:textId="77777777" w:rsidTr="00F65678">
        <w:trPr>
          <w:trHeight w:val="415"/>
        </w:trPr>
        <w:tc>
          <w:tcPr>
            <w:tcW w:w="2062" w:type="dxa"/>
            <w:vMerge w:val="restart"/>
            <w:vAlign w:val="center"/>
          </w:tcPr>
          <w:p w14:paraId="25672C13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Año</w:t>
            </w:r>
          </w:p>
        </w:tc>
        <w:tc>
          <w:tcPr>
            <w:tcW w:w="6196" w:type="dxa"/>
            <w:gridSpan w:val="3"/>
            <w:vAlign w:val="center"/>
          </w:tcPr>
          <w:p w14:paraId="02129CD6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Apelaciones</w:t>
            </w:r>
          </w:p>
        </w:tc>
        <w:tc>
          <w:tcPr>
            <w:tcW w:w="1943" w:type="dxa"/>
            <w:vMerge w:val="restart"/>
            <w:vAlign w:val="center"/>
          </w:tcPr>
          <w:p w14:paraId="1F177F9B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Amparos</w:t>
            </w:r>
          </w:p>
        </w:tc>
      </w:tr>
      <w:tr w:rsidR="00552C9D" w:rsidRPr="00552C9D" w14:paraId="5530AC83" w14:textId="77777777" w:rsidTr="00F65678">
        <w:trPr>
          <w:trHeight w:val="415"/>
        </w:trPr>
        <w:tc>
          <w:tcPr>
            <w:tcW w:w="2062" w:type="dxa"/>
            <w:vMerge/>
            <w:vAlign w:val="center"/>
          </w:tcPr>
          <w:p w14:paraId="536A4BDA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</w:p>
        </w:tc>
        <w:tc>
          <w:tcPr>
            <w:tcW w:w="2062" w:type="dxa"/>
            <w:vAlign w:val="center"/>
          </w:tcPr>
          <w:p w14:paraId="2FECD0EC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Turnadas</w:t>
            </w:r>
          </w:p>
        </w:tc>
        <w:tc>
          <w:tcPr>
            <w:tcW w:w="2067" w:type="dxa"/>
            <w:vAlign w:val="center"/>
          </w:tcPr>
          <w:p w14:paraId="2B17C8B3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Tramite</w:t>
            </w:r>
          </w:p>
        </w:tc>
        <w:tc>
          <w:tcPr>
            <w:tcW w:w="2067" w:type="dxa"/>
            <w:vAlign w:val="center"/>
          </w:tcPr>
          <w:p w14:paraId="4A7B4222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Resueltas</w:t>
            </w:r>
          </w:p>
        </w:tc>
        <w:tc>
          <w:tcPr>
            <w:tcW w:w="1943" w:type="dxa"/>
            <w:vMerge/>
            <w:vAlign w:val="center"/>
          </w:tcPr>
          <w:p w14:paraId="75A4FAA6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</w:p>
        </w:tc>
      </w:tr>
      <w:tr w:rsidR="00552C9D" w:rsidRPr="00552C9D" w14:paraId="2458B762" w14:textId="77777777" w:rsidTr="00F65678">
        <w:trPr>
          <w:trHeight w:val="415"/>
        </w:trPr>
        <w:tc>
          <w:tcPr>
            <w:tcW w:w="2062" w:type="dxa"/>
            <w:vAlign w:val="center"/>
          </w:tcPr>
          <w:p w14:paraId="47570152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2019</w:t>
            </w:r>
          </w:p>
        </w:tc>
        <w:tc>
          <w:tcPr>
            <w:tcW w:w="2062" w:type="dxa"/>
            <w:vAlign w:val="center"/>
          </w:tcPr>
          <w:p w14:paraId="6FDA778F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4</w:t>
            </w:r>
          </w:p>
        </w:tc>
        <w:tc>
          <w:tcPr>
            <w:tcW w:w="2067" w:type="dxa"/>
            <w:vAlign w:val="center"/>
          </w:tcPr>
          <w:p w14:paraId="2B29A1CF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  <w:tc>
          <w:tcPr>
            <w:tcW w:w="2067" w:type="dxa"/>
            <w:vAlign w:val="center"/>
          </w:tcPr>
          <w:p w14:paraId="77315B96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4</w:t>
            </w:r>
          </w:p>
        </w:tc>
        <w:tc>
          <w:tcPr>
            <w:tcW w:w="1943" w:type="dxa"/>
            <w:vAlign w:val="center"/>
          </w:tcPr>
          <w:p w14:paraId="3B937E15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</w:tr>
      <w:tr w:rsidR="00552C9D" w:rsidRPr="00552C9D" w14:paraId="30570421" w14:textId="77777777" w:rsidTr="00F65678">
        <w:trPr>
          <w:trHeight w:val="415"/>
        </w:trPr>
        <w:tc>
          <w:tcPr>
            <w:tcW w:w="2062" w:type="dxa"/>
            <w:vAlign w:val="center"/>
          </w:tcPr>
          <w:p w14:paraId="7A7FF693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2020</w:t>
            </w:r>
          </w:p>
        </w:tc>
        <w:tc>
          <w:tcPr>
            <w:tcW w:w="2062" w:type="dxa"/>
            <w:vAlign w:val="center"/>
          </w:tcPr>
          <w:p w14:paraId="1A236CA7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2</w:t>
            </w:r>
          </w:p>
        </w:tc>
        <w:tc>
          <w:tcPr>
            <w:tcW w:w="2067" w:type="dxa"/>
            <w:vAlign w:val="center"/>
          </w:tcPr>
          <w:p w14:paraId="5C0BF0E6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  <w:tc>
          <w:tcPr>
            <w:tcW w:w="2067" w:type="dxa"/>
            <w:vAlign w:val="center"/>
          </w:tcPr>
          <w:p w14:paraId="5125842A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2</w:t>
            </w:r>
          </w:p>
        </w:tc>
        <w:tc>
          <w:tcPr>
            <w:tcW w:w="1943" w:type="dxa"/>
            <w:vAlign w:val="center"/>
          </w:tcPr>
          <w:p w14:paraId="274C2C94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</w:tr>
      <w:tr w:rsidR="00552C9D" w:rsidRPr="00552C9D" w14:paraId="58589376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15464214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2021</w:t>
            </w:r>
          </w:p>
        </w:tc>
        <w:tc>
          <w:tcPr>
            <w:tcW w:w="2062" w:type="dxa"/>
            <w:vAlign w:val="center"/>
          </w:tcPr>
          <w:p w14:paraId="4361B5CF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7</w:t>
            </w:r>
          </w:p>
        </w:tc>
        <w:tc>
          <w:tcPr>
            <w:tcW w:w="2067" w:type="dxa"/>
            <w:vAlign w:val="center"/>
          </w:tcPr>
          <w:p w14:paraId="1688970D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  <w:tc>
          <w:tcPr>
            <w:tcW w:w="2067" w:type="dxa"/>
            <w:vAlign w:val="center"/>
          </w:tcPr>
          <w:p w14:paraId="111780D4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6</w:t>
            </w:r>
          </w:p>
        </w:tc>
        <w:tc>
          <w:tcPr>
            <w:tcW w:w="1943" w:type="dxa"/>
            <w:vAlign w:val="center"/>
          </w:tcPr>
          <w:p w14:paraId="4DB5F3D8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1</w:t>
            </w:r>
          </w:p>
        </w:tc>
      </w:tr>
      <w:tr w:rsidR="00552C9D" w:rsidRPr="00552C9D" w14:paraId="0F06FA67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591E0895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2022</w:t>
            </w:r>
          </w:p>
        </w:tc>
        <w:tc>
          <w:tcPr>
            <w:tcW w:w="2062" w:type="dxa"/>
            <w:vAlign w:val="center"/>
          </w:tcPr>
          <w:p w14:paraId="703C197D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2</w:t>
            </w:r>
          </w:p>
        </w:tc>
        <w:tc>
          <w:tcPr>
            <w:tcW w:w="2067" w:type="dxa"/>
            <w:vAlign w:val="center"/>
          </w:tcPr>
          <w:p w14:paraId="4CAAB6B0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  <w:tc>
          <w:tcPr>
            <w:tcW w:w="2067" w:type="dxa"/>
            <w:vAlign w:val="center"/>
          </w:tcPr>
          <w:p w14:paraId="4C2F5587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2</w:t>
            </w:r>
          </w:p>
        </w:tc>
        <w:tc>
          <w:tcPr>
            <w:tcW w:w="1943" w:type="dxa"/>
            <w:vAlign w:val="center"/>
          </w:tcPr>
          <w:p w14:paraId="4EF102D8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</w:tr>
      <w:tr w:rsidR="00552C9D" w:rsidRPr="00552C9D" w14:paraId="0C2CF2A5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19C10468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2023</w:t>
            </w:r>
          </w:p>
        </w:tc>
        <w:tc>
          <w:tcPr>
            <w:tcW w:w="2062" w:type="dxa"/>
            <w:vAlign w:val="center"/>
          </w:tcPr>
          <w:p w14:paraId="1CD2CC18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3</w:t>
            </w:r>
          </w:p>
        </w:tc>
        <w:tc>
          <w:tcPr>
            <w:tcW w:w="2067" w:type="dxa"/>
            <w:vAlign w:val="center"/>
          </w:tcPr>
          <w:p w14:paraId="5DEC850A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1</w:t>
            </w:r>
            <w:r w:rsidRPr="00552C9D">
              <w:rPr>
                <w:rStyle w:val="Refdenotaalpie"/>
                <w:rFonts w:ascii="Avenir Next LT Pro" w:hAnsi="Avenir Next LT Pro"/>
                <w:bCs/>
                <w:sz w:val="18"/>
                <w:szCs w:val="18"/>
              </w:rPr>
              <w:footnoteReference w:id="2"/>
            </w:r>
          </w:p>
        </w:tc>
        <w:tc>
          <w:tcPr>
            <w:tcW w:w="2067" w:type="dxa"/>
            <w:vAlign w:val="center"/>
          </w:tcPr>
          <w:p w14:paraId="55B8C60B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1</w:t>
            </w:r>
          </w:p>
        </w:tc>
        <w:tc>
          <w:tcPr>
            <w:tcW w:w="1943" w:type="dxa"/>
            <w:vAlign w:val="center"/>
          </w:tcPr>
          <w:p w14:paraId="2C92860A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1</w:t>
            </w:r>
          </w:p>
        </w:tc>
      </w:tr>
      <w:tr w:rsidR="00552C9D" w:rsidRPr="00552C9D" w14:paraId="179F73A0" w14:textId="77777777" w:rsidTr="00F65678">
        <w:trPr>
          <w:trHeight w:val="403"/>
        </w:trPr>
        <w:tc>
          <w:tcPr>
            <w:tcW w:w="2062" w:type="dxa"/>
            <w:vAlign w:val="center"/>
          </w:tcPr>
          <w:p w14:paraId="33656295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/>
                <w:sz w:val="18"/>
                <w:szCs w:val="18"/>
              </w:rPr>
              <w:t>2024</w:t>
            </w:r>
          </w:p>
        </w:tc>
        <w:tc>
          <w:tcPr>
            <w:tcW w:w="2062" w:type="dxa"/>
            <w:vAlign w:val="center"/>
          </w:tcPr>
          <w:p w14:paraId="5383C246" w14:textId="563BA9C4" w:rsidR="00552C9D" w:rsidRPr="00552C9D" w:rsidRDefault="00192B3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2</w:t>
            </w:r>
          </w:p>
        </w:tc>
        <w:tc>
          <w:tcPr>
            <w:tcW w:w="2067" w:type="dxa"/>
            <w:vAlign w:val="center"/>
          </w:tcPr>
          <w:p w14:paraId="00C0D099" w14:textId="190FB449" w:rsidR="00552C9D" w:rsidRPr="00552C9D" w:rsidRDefault="00192B3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>
              <w:rPr>
                <w:rFonts w:ascii="Avenir Next LT Pro" w:hAnsi="Avenir Next LT Pro"/>
                <w:bCs/>
                <w:sz w:val="18"/>
                <w:szCs w:val="18"/>
              </w:rPr>
              <w:t>2</w:t>
            </w:r>
          </w:p>
        </w:tc>
        <w:tc>
          <w:tcPr>
            <w:tcW w:w="2067" w:type="dxa"/>
            <w:vAlign w:val="center"/>
          </w:tcPr>
          <w:p w14:paraId="000F36E8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  <w:tc>
          <w:tcPr>
            <w:tcW w:w="1943" w:type="dxa"/>
            <w:vAlign w:val="center"/>
          </w:tcPr>
          <w:p w14:paraId="62BA1408" w14:textId="77777777" w:rsidR="00552C9D" w:rsidRPr="00552C9D" w:rsidRDefault="00552C9D" w:rsidP="00F65678">
            <w:pPr>
              <w:jc w:val="center"/>
              <w:rPr>
                <w:rFonts w:ascii="Avenir Next LT Pro" w:hAnsi="Avenir Next LT Pro"/>
                <w:bCs/>
                <w:sz w:val="18"/>
                <w:szCs w:val="18"/>
              </w:rPr>
            </w:pPr>
            <w:r w:rsidRPr="00552C9D">
              <w:rPr>
                <w:rFonts w:ascii="Avenir Next LT Pro" w:hAnsi="Avenir Next LT Pro"/>
                <w:bCs/>
                <w:sz w:val="18"/>
                <w:szCs w:val="18"/>
              </w:rPr>
              <w:t>0</w:t>
            </w:r>
          </w:p>
        </w:tc>
      </w:tr>
    </w:tbl>
    <w:p w14:paraId="1E220EEF" w14:textId="77777777" w:rsidR="00B21110" w:rsidRPr="00552C9D" w:rsidRDefault="00B21110" w:rsidP="00B21110">
      <w:pPr>
        <w:ind w:left="-1134"/>
        <w:rPr>
          <w:rFonts w:ascii="Century Gothic" w:hAnsi="Century Gothic"/>
          <w:sz w:val="4"/>
          <w:szCs w:val="4"/>
        </w:rPr>
      </w:pPr>
    </w:p>
    <w:p w14:paraId="0C75AB2C" w14:textId="77777777" w:rsidR="00552C9D" w:rsidRPr="00552C9D" w:rsidRDefault="00552C9D" w:rsidP="00B21110">
      <w:pPr>
        <w:pStyle w:val="NormalWeb"/>
        <w:spacing w:before="0" w:beforeAutospacing="0" w:after="0" w:afterAutospacing="0" w:line="360" w:lineRule="auto"/>
        <w:ind w:left="284"/>
        <w:rPr>
          <w:rFonts w:ascii="Avenir Next LT Pro" w:hAnsi="Avenir Next LT Pro"/>
          <w:b/>
          <w:bCs/>
          <w:color w:val="000000"/>
          <w:sz w:val="10"/>
          <w:szCs w:val="10"/>
        </w:rPr>
      </w:pPr>
    </w:p>
    <w:p w14:paraId="5A33578B" w14:textId="0F1800D0" w:rsidR="00B21110" w:rsidRPr="00647646" w:rsidRDefault="00B21110" w:rsidP="00B21110">
      <w:pPr>
        <w:pStyle w:val="NormalWeb"/>
        <w:spacing w:before="0" w:beforeAutospacing="0" w:after="0" w:afterAutospacing="0" w:line="360" w:lineRule="auto"/>
        <w:ind w:left="284"/>
        <w:rPr>
          <w:rFonts w:ascii="Avenir Next LT Pro" w:hAnsi="Avenir Next LT Pro"/>
          <w:color w:val="000000"/>
          <w:sz w:val="22"/>
          <w:szCs w:val="22"/>
        </w:rPr>
      </w:pPr>
      <w:r w:rsidRPr="00647646">
        <w:rPr>
          <w:rFonts w:ascii="Avenir Next LT Pro" w:hAnsi="Avenir Next LT Pro"/>
          <w:b/>
          <w:bCs/>
          <w:color w:val="000000"/>
          <w:sz w:val="22"/>
          <w:szCs w:val="22"/>
        </w:rPr>
        <w:t>Fecha de actualización:</w:t>
      </w:r>
      <w:r w:rsidRPr="00647646">
        <w:rPr>
          <w:rFonts w:ascii="Avenir Next LT Pro" w:hAnsi="Avenir Next LT Pro"/>
          <w:color w:val="000000"/>
          <w:sz w:val="22"/>
          <w:szCs w:val="22"/>
        </w:rPr>
        <w:t xml:space="preserve"> </w:t>
      </w:r>
      <w:r w:rsidR="006B72B1">
        <w:rPr>
          <w:rFonts w:ascii="Avenir Next LT Pro" w:hAnsi="Avenir Next LT Pro"/>
          <w:color w:val="000000"/>
          <w:sz w:val="22"/>
          <w:szCs w:val="22"/>
        </w:rPr>
        <w:t>0</w:t>
      </w:r>
      <w:r w:rsidR="005C040E">
        <w:rPr>
          <w:rFonts w:ascii="Avenir Next LT Pro" w:hAnsi="Avenir Next LT Pro"/>
          <w:color w:val="000000"/>
          <w:sz w:val="22"/>
          <w:szCs w:val="22"/>
        </w:rPr>
        <w:t>6</w:t>
      </w:r>
      <w:r w:rsidRPr="00647646">
        <w:rPr>
          <w:rFonts w:ascii="Avenir Next LT Pro" w:hAnsi="Avenir Next LT Pro"/>
          <w:color w:val="000000"/>
          <w:sz w:val="22"/>
          <w:szCs w:val="22"/>
        </w:rPr>
        <w:t xml:space="preserve"> de </w:t>
      </w:r>
      <w:r w:rsidR="006B72B1">
        <w:rPr>
          <w:rFonts w:ascii="Avenir Next LT Pro" w:hAnsi="Avenir Next LT Pro"/>
          <w:color w:val="000000"/>
          <w:sz w:val="22"/>
          <w:szCs w:val="22"/>
        </w:rPr>
        <w:t>enero</w:t>
      </w:r>
      <w:r w:rsidRPr="00647646">
        <w:rPr>
          <w:rFonts w:ascii="Avenir Next LT Pro" w:hAnsi="Avenir Next LT Pro"/>
          <w:color w:val="000000"/>
          <w:sz w:val="22"/>
          <w:szCs w:val="22"/>
        </w:rPr>
        <w:t xml:space="preserve"> de </w:t>
      </w:r>
      <w:r w:rsidR="006B72B1">
        <w:rPr>
          <w:rFonts w:ascii="Avenir Next LT Pro" w:hAnsi="Avenir Next LT Pro"/>
          <w:color w:val="000000"/>
          <w:sz w:val="22"/>
          <w:szCs w:val="22"/>
        </w:rPr>
        <w:t>2025</w:t>
      </w:r>
    </w:p>
    <w:p w14:paraId="7EB24E21" w14:textId="77777777" w:rsidR="00B21110" w:rsidRPr="00647646" w:rsidRDefault="00B21110" w:rsidP="00B21110">
      <w:pPr>
        <w:pStyle w:val="NormalWeb"/>
        <w:spacing w:before="0" w:beforeAutospacing="0" w:after="0" w:afterAutospacing="0" w:line="360" w:lineRule="auto"/>
        <w:ind w:left="284"/>
        <w:rPr>
          <w:rFonts w:ascii="Avenir Next LT Pro" w:hAnsi="Avenir Next LT Pro"/>
          <w:sz w:val="22"/>
          <w:szCs w:val="22"/>
        </w:rPr>
      </w:pPr>
      <w:r w:rsidRPr="00647646">
        <w:rPr>
          <w:rFonts w:ascii="Avenir Next LT Pro" w:hAnsi="Avenir Next LT Pro"/>
          <w:b/>
          <w:bCs/>
          <w:color w:val="000000"/>
          <w:sz w:val="22"/>
          <w:szCs w:val="22"/>
        </w:rPr>
        <w:t>Elaborado por:</w:t>
      </w:r>
      <w:r w:rsidRPr="00647646">
        <w:rPr>
          <w:rFonts w:ascii="Avenir Next LT Pro" w:hAnsi="Avenir Next LT Pro"/>
          <w:color w:val="000000"/>
          <w:sz w:val="22"/>
          <w:szCs w:val="22"/>
        </w:rPr>
        <w:t xml:space="preserve"> Idelia Constanza Reyes Tamez</w:t>
      </w:r>
    </w:p>
    <w:p w14:paraId="196C31A4" w14:textId="77777777" w:rsidR="00B21110" w:rsidRPr="00647646" w:rsidRDefault="00B21110" w:rsidP="00B21110">
      <w:pPr>
        <w:pStyle w:val="NormalWeb"/>
        <w:spacing w:before="0" w:beforeAutospacing="0" w:after="0" w:afterAutospacing="0" w:line="360" w:lineRule="auto"/>
        <w:ind w:left="284"/>
        <w:rPr>
          <w:rFonts w:ascii="Avenir Next LT Pro" w:hAnsi="Avenir Next LT Pro"/>
          <w:sz w:val="22"/>
          <w:szCs w:val="22"/>
        </w:rPr>
      </w:pPr>
      <w:r w:rsidRPr="00647646">
        <w:rPr>
          <w:rFonts w:ascii="Avenir Next LT Pro" w:hAnsi="Avenir Next LT Pro"/>
          <w:b/>
          <w:bCs/>
          <w:color w:val="000000"/>
          <w:sz w:val="22"/>
          <w:szCs w:val="22"/>
        </w:rPr>
        <w:t>Unidad Administrativa:</w:t>
      </w:r>
      <w:r w:rsidRPr="00647646">
        <w:rPr>
          <w:rFonts w:ascii="Avenir Next LT Pro" w:hAnsi="Avenir Next LT Pro"/>
          <w:color w:val="000000"/>
          <w:sz w:val="22"/>
          <w:szCs w:val="22"/>
        </w:rPr>
        <w:t xml:space="preserve"> Secretaría General de Acuerdos</w:t>
      </w:r>
    </w:p>
    <w:p w14:paraId="66B9188C" w14:textId="77777777" w:rsidR="00B21110" w:rsidRPr="00647646" w:rsidRDefault="00B21110" w:rsidP="00B21110">
      <w:pPr>
        <w:pStyle w:val="NormalWeb"/>
        <w:spacing w:before="0" w:beforeAutospacing="0" w:after="0" w:afterAutospacing="0" w:line="360" w:lineRule="auto"/>
        <w:ind w:left="284"/>
        <w:rPr>
          <w:rFonts w:ascii="Avenir Next LT Pro" w:hAnsi="Avenir Next LT Pro"/>
          <w:sz w:val="22"/>
          <w:szCs w:val="22"/>
        </w:rPr>
      </w:pPr>
      <w:r w:rsidRPr="00647646">
        <w:rPr>
          <w:rFonts w:ascii="Avenir Next LT Pro" w:hAnsi="Avenir Next LT Pro"/>
          <w:b/>
          <w:bCs/>
          <w:color w:val="000000"/>
          <w:sz w:val="22"/>
          <w:szCs w:val="22"/>
        </w:rPr>
        <w:t>Autorizado por:</w:t>
      </w:r>
      <w:r w:rsidRPr="00647646">
        <w:rPr>
          <w:rFonts w:ascii="Avenir Next LT Pro" w:hAnsi="Avenir Next LT Pro"/>
          <w:color w:val="000000"/>
          <w:sz w:val="22"/>
          <w:szCs w:val="22"/>
        </w:rPr>
        <w:t xml:space="preserve"> Octavio G. Adame Jacinto</w:t>
      </w:r>
    </w:p>
    <w:p w14:paraId="11D87185" w14:textId="03E66C3C" w:rsidR="00EA76C8" w:rsidRPr="00F65678" w:rsidRDefault="00B21110" w:rsidP="00F65678">
      <w:pPr>
        <w:pStyle w:val="NormalWeb"/>
        <w:spacing w:before="0" w:beforeAutospacing="0" w:after="0" w:afterAutospacing="0" w:line="360" w:lineRule="auto"/>
        <w:ind w:left="284"/>
        <w:rPr>
          <w:rFonts w:ascii="Century Gothic" w:hAnsi="Century Gothic"/>
          <w:sz w:val="22"/>
          <w:szCs w:val="22"/>
        </w:rPr>
      </w:pPr>
      <w:r w:rsidRPr="00825754">
        <w:rPr>
          <w:rFonts w:ascii="Century Gothic" w:hAnsi="Century Gothic"/>
          <w:b/>
          <w:bCs/>
          <w:color w:val="000000"/>
          <w:sz w:val="22"/>
          <w:szCs w:val="22"/>
        </w:rPr>
        <w:t>Cargo:</w:t>
      </w:r>
      <w:r w:rsidRPr="00825754">
        <w:rPr>
          <w:rFonts w:ascii="Century Gothic" w:hAnsi="Century Gothic"/>
          <w:color w:val="000000"/>
          <w:sz w:val="22"/>
          <w:szCs w:val="22"/>
        </w:rPr>
        <w:t xml:space="preserve"> </w:t>
      </w:r>
      <w:proofErr w:type="gramStart"/>
      <w:r w:rsidRPr="00825754">
        <w:rPr>
          <w:rFonts w:ascii="Century Gothic" w:hAnsi="Century Gothic"/>
          <w:color w:val="000000"/>
          <w:sz w:val="22"/>
          <w:szCs w:val="22"/>
        </w:rPr>
        <w:t>Secretari</w:t>
      </w:r>
      <w:r>
        <w:rPr>
          <w:rFonts w:ascii="Century Gothic" w:hAnsi="Century Gothic"/>
          <w:color w:val="000000"/>
          <w:sz w:val="22"/>
          <w:szCs w:val="22"/>
        </w:rPr>
        <w:t>o</w:t>
      </w:r>
      <w:r w:rsidRPr="00825754">
        <w:rPr>
          <w:rFonts w:ascii="Century Gothic" w:hAnsi="Century Gothic"/>
          <w:color w:val="000000"/>
          <w:sz w:val="22"/>
          <w:szCs w:val="22"/>
        </w:rPr>
        <w:t xml:space="preserve"> Técnic</w:t>
      </w:r>
      <w:r>
        <w:rPr>
          <w:rFonts w:ascii="Century Gothic" w:hAnsi="Century Gothic"/>
          <w:color w:val="000000"/>
          <w:sz w:val="22"/>
          <w:szCs w:val="22"/>
        </w:rPr>
        <w:t>o</w:t>
      </w:r>
      <w:proofErr w:type="gramEnd"/>
    </w:p>
    <w:sectPr w:rsidR="00EA76C8" w:rsidRPr="00F65678" w:rsidSect="00F51918">
      <w:headerReference w:type="default" r:id="rId8"/>
      <w:footerReference w:type="default" r:id="rId9"/>
      <w:pgSz w:w="12240" w:h="20160" w:code="5"/>
      <w:pgMar w:top="2625" w:right="1701" w:bottom="2127" w:left="1701" w:header="708" w:footer="9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212AAB" w14:textId="77777777" w:rsidR="00895354" w:rsidRDefault="00895354" w:rsidP="00A71679">
      <w:pPr>
        <w:spacing w:after="0" w:line="240" w:lineRule="auto"/>
      </w:pPr>
      <w:r>
        <w:separator/>
      </w:r>
    </w:p>
  </w:endnote>
  <w:endnote w:type="continuationSeparator" w:id="0">
    <w:p w14:paraId="5EDD78AE" w14:textId="77777777" w:rsidR="00895354" w:rsidRDefault="00895354" w:rsidP="00A71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Next LT Pro">
    <w:altName w:val="Calibri"/>
    <w:charset w:val="00"/>
    <w:family w:val="swiss"/>
    <w:pitch w:val="variable"/>
    <w:sig w:usb0="800000EF" w:usb1="50002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641F3F" w14:textId="77777777" w:rsidR="00E82EB9" w:rsidRPr="00E82EB9" w:rsidRDefault="00E82EB9" w:rsidP="00E82EB9">
    <w:pPr>
      <w:pBdr>
        <w:top w:val="single" w:sz="24" w:space="1" w:color="1F3864" w:themeColor="accent1" w:themeShade="80"/>
      </w:pBdr>
      <w:spacing w:after="0" w:line="160" w:lineRule="atLeast"/>
      <w:ind w:left="-1701" w:right="-1652"/>
      <w:jc w:val="center"/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</w:pPr>
    <w:bookmarkStart w:id="0" w:name="_Hlk128124309"/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197E9DE9" wp14:editId="3144A2B3">
          <wp:extent cx="144000" cy="144000"/>
          <wp:effectExtent l="0" t="0" r="8890" b="8890"/>
          <wp:docPr id="187288452" name="Gráfico 187288452" descr="Marcador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áfico 5" descr="Marcador con relleno sólid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000" cy="14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proofErr w:type="spellStart"/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>Blvd</w:t>
    </w:r>
    <w:proofErr w:type="spellEnd"/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. Francisco Coss s/n, entre Purcell y </w:t>
    </w:r>
    <w:proofErr w:type="gramStart"/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>Presidente</w:t>
    </w:r>
    <w:proofErr w:type="gramEnd"/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 Cárdenas, Zona Centro, C.P 25000, Saltillo, Coahuila de Zaragoza</w:t>
    </w:r>
  </w:p>
  <w:p w14:paraId="1E1A1406" w14:textId="4A41D7B8" w:rsidR="00EA76C8" w:rsidRPr="00E82EB9" w:rsidRDefault="00E82EB9" w:rsidP="00E82EB9">
    <w:pPr>
      <w:spacing w:after="0" w:line="160" w:lineRule="atLeast"/>
      <w:ind w:left="-851" w:right="-941"/>
      <w:jc w:val="center"/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val="es-ES" w:eastAsia="es-MX"/>
      </w:rPr>
    </w:pPr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2F0FD755" wp14:editId="38CD64FC">
          <wp:extent cx="108000" cy="108000"/>
          <wp:effectExtent l="0" t="0" r="6350" b="6350"/>
          <wp:docPr id="1061530879" name="Gráfico 1061530879" descr="Auricular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áfico 6" descr="Auricular con relleno sólido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" cy="10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(844) 1 23 03 10 Oficina del Tribunal </w:t>
    </w:r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492B67D5" wp14:editId="7920F275">
          <wp:extent cx="180000" cy="180000"/>
          <wp:effectExtent l="0" t="0" r="0" b="0"/>
          <wp:docPr id="472734594" name="Gráfico 472734594" descr="Internet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áfico 7" descr="Internet con relleno sólido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6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" cy="1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 </w:t>
    </w:r>
    <w:hyperlink r:id="rId7" w:history="1">
      <w:r w:rsidRPr="00E82EB9">
        <w:rPr>
          <w:rStyle w:val="Hipervnculo"/>
          <w:rFonts w:ascii="Avenir Next LT Pro" w:eastAsia="Times New Roman" w:hAnsi="Avenir Next LT Pro" w:cs="Arial"/>
          <w:color w:val="1F3864" w:themeColor="accent1" w:themeShade="80"/>
          <w:sz w:val="16"/>
          <w:szCs w:val="16"/>
          <w:lang w:eastAsia="es-MX"/>
        </w:rPr>
        <w:t>http://www.tjacoahuila.org</w:t>
      </w:r>
    </w:hyperlink>
    <w:r w:rsidRPr="00E82EB9">
      <w:rPr>
        <w:rStyle w:val="Hipervnculo"/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 </w:t>
    </w:r>
    <w:r w:rsidRPr="00E82EB9">
      <w:rPr>
        <w:noProof/>
        <w:color w:val="1F3864" w:themeColor="accent1" w:themeShade="80"/>
      </w:rPr>
      <w:drawing>
        <wp:inline distT="0" distB="0" distL="0" distR="0" wp14:anchorId="7750DF07" wp14:editId="4F7A7930">
          <wp:extent cx="180000" cy="180000"/>
          <wp:effectExtent l="0" t="0" r="0" b="0"/>
          <wp:docPr id="1405754784" name="Gráfico 1405754784" descr="Correo electrónico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Gráfico 8" descr="Correo electrónico con relleno sólido"/>
                  <pic:cNvPicPr/>
                </pic:nvPicPr>
                <pic:blipFill>
                  <a:blip r:embed="rId8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9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" cy="1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hyperlink r:id="rId10" w:history="1">
      <w:r w:rsidRPr="00E82EB9">
        <w:rPr>
          <w:rFonts w:ascii="Avenir Next LT Pro" w:eastAsia="Times New Roman" w:hAnsi="Avenir Next LT Pro" w:cs="Arial"/>
          <w:color w:val="1F3864" w:themeColor="accent1" w:themeShade="80"/>
          <w:sz w:val="16"/>
          <w:szCs w:val="16"/>
          <w:u w:val="single"/>
          <w:lang w:eastAsia="es-MX"/>
        </w:rPr>
        <w:t>tribunaldejusticiaadministrativa@tjacoahuila.org.mx</w:t>
      </w:r>
    </w:hyperlink>
  </w:p>
  <w:bookmarkEnd w:id="0"/>
  <w:p w14:paraId="3227E1C5" w14:textId="6E1FD3F1" w:rsidR="00A71679" w:rsidRDefault="00A7167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5BA84F" w14:textId="77777777" w:rsidR="00895354" w:rsidRDefault="00895354" w:rsidP="00A71679">
      <w:pPr>
        <w:spacing w:after="0" w:line="240" w:lineRule="auto"/>
      </w:pPr>
      <w:r>
        <w:separator/>
      </w:r>
    </w:p>
  </w:footnote>
  <w:footnote w:type="continuationSeparator" w:id="0">
    <w:p w14:paraId="72E90BFF" w14:textId="77777777" w:rsidR="00895354" w:rsidRDefault="00895354" w:rsidP="00A71679">
      <w:pPr>
        <w:spacing w:after="0" w:line="240" w:lineRule="auto"/>
      </w:pPr>
      <w:r>
        <w:continuationSeparator/>
      </w:r>
    </w:p>
  </w:footnote>
  <w:footnote w:id="1">
    <w:p w14:paraId="01E027D2" w14:textId="77777777" w:rsidR="00F65678" w:rsidRPr="00FF41A0" w:rsidRDefault="00F65678" w:rsidP="00F65678">
      <w:pPr>
        <w:pStyle w:val="Textonotapie"/>
        <w:rPr>
          <w:rFonts w:ascii="Times New Roman" w:hAnsi="Times New Roman" w:cs="Times New Roman"/>
        </w:rPr>
      </w:pPr>
      <w:r w:rsidRPr="00FF41A0">
        <w:rPr>
          <w:rStyle w:val="Refdenotaalpie"/>
          <w:rFonts w:ascii="Times New Roman" w:hAnsi="Times New Roman" w:cs="Times New Roman"/>
        </w:rPr>
        <w:footnoteRef/>
      </w:r>
      <w:r w:rsidRPr="00FF41A0">
        <w:rPr>
          <w:rFonts w:ascii="Times New Roman" w:hAnsi="Times New Roman" w:cs="Times New Roman"/>
        </w:rPr>
        <w:t xml:space="preserve"> Se presenta un solo amparo en contra de dos acuerdos dictados en dos recursos de apelación distintos, derivados del mismo juicio contencioso administrativo.</w:t>
      </w:r>
    </w:p>
  </w:footnote>
  <w:footnote w:id="2">
    <w:p w14:paraId="5B237FFD" w14:textId="77777777" w:rsidR="00552C9D" w:rsidRPr="00552C9D" w:rsidRDefault="00552C9D" w:rsidP="00552C9D">
      <w:pPr>
        <w:pStyle w:val="Textonotapie"/>
        <w:rPr>
          <w:rFonts w:ascii="Times New Roman" w:hAnsi="Times New Roman" w:cs="Times New Roman"/>
        </w:rPr>
      </w:pPr>
      <w:r w:rsidRPr="00552C9D">
        <w:rPr>
          <w:rStyle w:val="Refdenotaalpie"/>
          <w:rFonts w:ascii="Times New Roman" w:hAnsi="Times New Roman" w:cs="Times New Roman"/>
        </w:rPr>
        <w:footnoteRef/>
      </w:r>
      <w:r w:rsidRPr="00552C9D">
        <w:rPr>
          <w:rFonts w:ascii="Times New Roman" w:hAnsi="Times New Roman" w:cs="Times New Roman"/>
        </w:rPr>
        <w:t xml:space="preserve"> Tocas de apelación acumuladas RA/SEMRA/039/2023 y RA/SEMRA/040/2023, en las cuales, el recurrente en la </w:t>
      </w:r>
      <w:proofErr w:type="gramStart"/>
      <w:r w:rsidRPr="00552C9D">
        <w:rPr>
          <w:rFonts w:ascii="Times New Roman" w:hAnsi="Times New Roman" w:cs="Times New Roman"/>
        </w:rPr>
        <w:t>Toca RA</w:t>
      </w:r>
      <w:proofErr w:type="gramEnd"/>
      <w:r w:rsidRPr="00552C9D">
        <w:rPr>
          <w:rFonts w:ascii="Times New Roman" w:hAnsi="Times New Roman" w:cs="Times New Roman"/>
        </w:rPr>
        <w:t>/SEMRA/039/2023, presenta demanda de amparo en contra de la sentencia que resolvió ambos recursos, mientras que el recurrente en la RA/SEMRA/040/2023 no lo hace.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357100" w14:textId="1C451448" w:rsidR="00AA5C73" w:rsidRDefault="00AA5C73" w:rsidP="00A71679">
    <w:pPr>
      <w:pStyle w:val="Encabezado"/>
      <w:jc w:val="center"/>
    </w:pPr>
  </w:p>
  <w:tbl>
    <w:tblPr>
      <w:tblStyle w:val="Tablaconcuadrcula"/>
      <w:tblW w:w="12244" w:type="dxa"/>
      <w:tblInd w:w="-1706" w:type="dxa"/>
      <w:tblLook w:val="04A0" w:firstRow="1" w:lastRow="0" w:firstColumn="1" w:lastColumn="0" w:noHBand="0" w:noVBand="1"/>
    </w:tblPr>
    <w:tblGrid>
      <w:gridCol w:w="4535"/>
      <w:gridCol w:w="425"/>
      <w:gridCol w:w="2324"/>
      <w:gridCol w:w="425"/>
      <w:gridCol w:w="4535"/>
    </w:tblGrid>
    <w:tr w:rsidR="00CE3201" w14:paraId="72D243ED" w14:textId="77777777" w:rsidTr="00EA76C8">
      <w:tc>
        <w:tcPr>
          <w:tcW w:w="4535" w:type="dxa"/>
          <w:tcBorders>
            <w:top w:val="nil"/>
            <w:left w:val="nil"/>
            <w:bottom w:val="single" w:sz="24" w:space="0" w:color="1F3864" w:themeColor="accent1" w:themeShade="80"/>
            <w:right w:val="nil"/>
          </w:tcBorders>
        </w:tcPr>
        <w:p w14:paraId="1D810A76" w14:textId="38E7765C" w:rsidR="00CE3201" w:rsidRPr="00CE3201" w:rsidRDefault="00CE3201" w:rsidP="00CE3201">
          <w:pPr>
            <w:pStyle w:val="Encabezado"/>
            <w:rPr>
              <w:b/>
              <w:bCs/>
              <w:color w:val="2F5496" w:themeColor="accent1" w:themeShade="BF"/>
            </w:rPr>
          </w:pPr>
        </w:p>
      </w:tc>
      <w:tc>
        <w:tcPr>
          <w:tcW w:w="425" w:type="dxa"/>
          <w:tcBorders>
            <w:top w:val="nil"/>
            <w:left w:val="nil"/>
            <w:bottom w:val="nil"/>
            <w:right w:val="nil"/>
          </w:tcBorders>
        </w:tcPr>
        <w:p w14:paraId="7A7B15B9" w14:textId="7777777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2324" w:type="dxa"/>
          <w:vMerge w:val="restart"/>
          <w:tcBorders>
            <w:top w:val="nil"/>
            <w:left w:val="nil"/>
            <w:bottom w:val="nil"/>
            <w:right w:val="nil"/>
          </w:tcBorders>
        </w:tcPr>
        <w:p w14:paraId="5EFD57A3" w14:textId="2127C980" w:rsidR="00CE3201" w:rsidRPr="00CE3201" w:rsidRDefault="00EA76C8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4B80AF9" wp14:editId="660500FC">
                <wp:simplePos x="0" y="0"/>
                <wp:positionH relativeFrom="margin">
                  <wp:posOffset>-122085</wp:posOffset>
                </wp:positionH>
                <wp:positionV relativeFrom="paragraph">
                  <wp:posOffset>-270704</wp:posOffset>
                </wp:positionV>
                <wp:extent cx="1582237" cy="1101014"/>
                <wp:effectExtent l="0" t="0" r="0" b="4445"/>
                <wp:wrapNone/>
                <wp:docPr id="302812648" name="Imagen 302812648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n 4" descr="Texto&#10;&#10;Descripción generada automá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82237" cy="11010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25" w:type="dxa"/>
          <w:tcBorders>
            <w:top w:val="nil"/>
            <w:left w:val="nil"/>
            <w:bottom w:val="nil"/>
            <w:right w:val="nil"/>
          </w:tcBorders>
        </w:tcPr>
        <w:p w14:paraId="3817E4C1" w14:textId="7777777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4535" w:type="dxa"/>
          <w:tcBorders>
            <w:top w:val="nil"/>
            <w:left w:val="nil"/>
            <w:bottom w:val="single" w:sz="24" w:space="0" w:color="1F3864"/>
            <w:right w:val="nil"/>
          </w:tcBorders>
        </w:tcPr>
        <w:p w14:paraId="07AF801B" w14:textId="71327CB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</w:tr>
    <w:tr w:rsidR="00CE3201" w14:paraId="0A2C8051" w14:textId="77777777" w:rsidTr="00EA76C8">
      <w:tc>
        <w:tcPr>
          <w:tcW w:w="4960" w:type="dxa"/>
          <w:gridSpan w:val="2"/>
          <w:tcBorders>
            <w:top w:val="nil"/>
            <w:left w:val="nil"/>
            <w:bottom w:val="single" w:sz="24" w:space="0" w:color="1F3864" w:themeColor="accent1" w:themeShade="80"/>
            <w:right w:val="nil"/>
          </w:tcBorders>
        </w:tcPr>
        <w:p w14:paraId="68990A01" w14:textId="02B5AEAB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2324" w:type="dxa"/>
          <w:vMerge/>
          <w:tcBorders>
            <w:top w:val="nil"/>
            <w:left w:val="nil"/>
            <w:bottom w:val="nil"/>
            <w:right w:val="nil"/>
          </w:tcBorders>
        </w:tcPr>
        <w:p w14:paraId="5221C352" w14:textId="5A2C6394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4960" w:type="dxa"/>
          <w:gridSpan w:val="2"/>
          <w:tcBorders>
            <w:top w:val="nil"/>
            <w:left w:val="nil"/>
            <w:bottom w:val="single" w:sz="24" w:space="0" w:color="1F3864"/>
            <w:right w:val="nil"/>
          </w:tcBorders>
        </w:tcPr>
        <w:p w14:paraId="155C1F61" w14:textId="22B48742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</w:tr>
  </w:tbl>
  <w:p w14:paraId="0B2C0F97" w14:textId="10601101" w:rsidR="007E09E3" w:rsidRDefault="007E09E3" w:rsidP="00A71679">
    <w:pPr>
      <w:pStyle w:val="Encabezado"/>
      <w:jc w:val="center"/>
    </w:pPr>
  </w:p>
  <w:p w14:paraId="345ED68B" w14:textId="09095ECF" w:rsidR="007E09E3" w:rsidRDefault="007E09E3" w:rsidP="00A71679">
    <w:pPr>
      <w:pStyle w:val="Encabezado"/>
      <w:jc w:val="center"/>
    </w:pPr>
  </w:p>
  <w:p w14:paraId="35595F4C" w14:textId="6D2D4EDF" w:rsidR="007E09E3" w:rsidRDefault="007E09E3" w:rsidP="00A71679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B25DD6"/>
    <w:multiLevelType w:val="hybridMultilevel"/>
    <w:tmpl w:val="6FA8E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493C87"/>
    <w:multiLevelType w:val="hybridMultilevel"/>
    <w:tmpl w:val="1A7C6694"/>
    <w:lvl w:ilvl="0" w:tplc="97F2B00A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  <w:sz w:val="2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3216791">
    <w:abstractNumId w:val="1"/>
  </w:num>
  <w:num w:numId="2" w16cid:durableId="1556818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679"/>
    <w:rsid w:val="00004620"/>
    <w:rsid w:val="00017D2A"/>
    <w:rsid w:val="000333D9"/>
    <w:rsid w:val="00034082"/>
    <w:rsid w:val="00037C5F"/>
    <w:rsid w:val="000417A1"/>
    <w:rsid w:val="000500AB"/>
    <w:rsid w:val="00065B57"/>
    <w:rsid w:val="00075477"/>
    <w:rsid w:val="000D69B4"/>
    <w:rsid w:val="000E49E3"/>
    <w:rsid w:val="000F1979"/>
    <w:rsid w:val="001107B3"/>
    <w:rsid w:val="00122B34"/>
    <w:rsid w:val="00125832"/>
    <w:rsid w:val="00132B5B"/>
    <w:rsid w:val="0013701E"/>
    <w:rsid w:val="00144AF2"/>
    <w:rsid w:val="00161787"/>
    <w:rsid w:val="00166D6D"/>
    <w:rsid w:val="00177A92"/>
    <w:rsid w:val="00183881"/>
    <w:rsid w:val="00191711"/>
    <w:rsid w:val="00192B3D"/>
    <w:rsid w:val="0019698E"/>
    <w:rsid w:val="001A4076"/>
    <w:rsid w:val="001C500C"/>
    <w:rsid w:val="001C5CBF"/>
    <w:rsid w:val="001D0611"/>
    <w:rsid w:val="001D3EE7"/>
    <w:rsid w:val="001E0BA0"/>
    <w:rsid w:val="001E7841"/>
    <w:rsid w:val="001F7FE9"/>
    <w:rsid w:val="002070B1"/>
    <w:rsid w:val="00214D7F"/>
    <w:rsid w:val="00222CF5"/>
    <w:rsid w:val="002355E1"/>
    <w:rsid w:val="002472F1"/>
    <w:rsid w:val="00263836"/>
    <w:rsid w:val="00275D6A"/>
    <w:rsid w:val="00282015"/>
    <w:rsid w:val="002A0226"/>
    <w:rsid w:val="002A4D46"/>
    <w:rsid w:val="002B15FE"/>
    <w:rsid w:val="002D2A63"/>
    <w:rsid w:val="002F03CC"/>
    <w:rsid w:val="00300981"/>
    <w:rsid w:val="003055AE"/>
    <w:rsid w:val="00320797"/>
    <w:rsid w:val="00350F43"/>
    <w:rsid w:val="00353A41"/>
    <w:rsid w:val="003621D1"/>
    <w:rsid w:val="003711AC"/>
    <w:rsid w:val="00371F56"/>
    <w:rsid w:val="00374144"/>
    <w:rsid w:val="00385137"/>
    <w:rsid w:val="003901A7"/>
    <w:rsid w:val="003B1283"/>
    <w:rsid w:val="003B6752"/>
    <w:rsid w:val="003B6988"/>
    <w:rsid w:val="003D06FA"/>
    <w:rsid w:val="003D7E9B"/>
    <w:rsid w:val="003F098D"/>
    <w:rsid w:val="00405EDD"/>
    <w:rsid w:val="00417485"/>
    <w:rsid w:val="00425F14"/>
    <w:rsid w:val="004332C8"/>
    <w:rsid w:val="00442267"/>
    <w:rsid w:val="00454A0C"/>
    <w:rsid w:val="00455911"/>
    <w:rsid w:val="004671BA"/>
    <w:rsid w:val="00470A83"/>
    <w:rsid w:val="00470EBB"/>
    <w:rsid w:val="00473704"/>
    <w:rsid w:val="004924D6"/>
    <w:rsid w:val="004A611A"/>
    <w:rsid w:val="004C67EA"/>
    <w:rsid w:val="004D0091"/>
    <w:rsid w:val="004D0D34"/>
    <w:rsid w:val="004D2C5F"/>
    <w:rsid w:val="00502785"/>
    <w:rsid w:val="00503D84"/>
    <w:rsid w:val="00504E93"/>
    <w:rsid w:val="00527111"/>
    <w:rsid w:val="00531B0F"/>
    <w:rsid w:val="00542CC6"/>
    <w:rsid w:val="005464D3"/>
    <w:rsid w:val="00546613"/>
    <w:rsid w:val="00552C9D"/>
    <w:rsid w:val="00554B4A"/>
    <w:rsid w:val="00565B4E"/>
    <w:rsid w:val="00572F54"/>
    <w:rsid w:val="005817E5"/>
    <w:rsid w:val="00594FC4"/>
    <w:rsid w:val="0059710C"/>
    <w:rsid w:val="005A5011"/>
    <w:rsid w:val="005B58AE"/>
    <w:rsid w:val="005C040E"/>
    <w:rsid w:val="005C0A7D"/>
    <w:rsid w:val="005D6668"/>
    <w:rsid w:val="005E1A1F"/>
    <w:rsid w:val="005E7793"/>
    <w:rsid w:val="00607558"/>
    <w:rsid w:val="00614775"/>
    <w:rsid w:val="00627E0B"/>
    <w:rsid w:val="00636793"/>
    <w:rsid w:val="006407C1"/>
    <w:rsid w:val="00647646"/>
    <w:rsid w:val="00655077"/>
    <w:rsid w:val="00677E14"/>
    <w:rsid w:val="006854DD"/>
    <w:rsid w:val="006B1488"/>
    <w:rsid w:val="006B72B1"/>
    <w:rsid w:val="006B740F"/>
    <w:rsid w:val="006C2EF3"/>
    <w:rsid w:val="006C742D"/>
    <w:rsid w:val="006E211B"/>
    <w:rsid w:val="006E4543"/>
    <w:rsid w:val="006F23A8"/>
    <w:rsid w:val="00710C76"/>
    <w:rsid w:val="00716953"/>
    <w:rsid w:val="00746568"/>
    <w:rsid w:val="00763E36"/>
    <w:rsid w:val="0077076B"/>
    <w:rsid w:val="0078249B"/>
    <w:rsid w:val="0078565C"/>
    <w:rsid w:val="0079561E"/>
    <w:rsid w:val="007B1E02"/>
    <w:rsid w:val="007B3980"/>
    <w:rsid w:val="007C1E1D"/>
    <w:rsid w:val="007C3C50"/>
    <w:rsid w:val="007C73E4"/>
    <w:rsid w:val="007E09E3"/>
    <w:rsid w:val="007E272B"/>
    <w:rsid w:val="007E6C1F"/>
    <w:rsid w:val="008007F9"/>
    <w:rsid w:val="00804758"/>
    <w:rsid w:val="00805FA3"/>
    <w:rsid w:val="00807624"/>
    <w:rsid w:val="0081319F"/>
    <w:rsid w:val="00815520"/>
    <w:rsid w:val="0081740C"/>
    <w:rsid w:val="008260C4"/>
    <w:rsid w:val="00826357"/>
    <w:rsid w:val="00845CE6"/>
    <w:rsid w:val="00856478"/>
    <w:rsid w:val="00867B15"/>
    <w:rsid w:val="00873F8C"/>
    <w:rsid w:val="00887EB4"/>
    <w:rsid w:val="00891297"/>
    <w:rsid w:val="00891404"/>
    <w:rsid w:val="00895354"/>
    <w:rsid w:val="008E31A0"/>
    <w:rsid w:val="008E3BE7"/>
    <w:rsid w:val="008E75F4"/>
    <w:rsid w:val="008F0A35"/>
    <w:rsid w:val="008F37EE"/>
    <w:rsid w:val="00913149"/>
    <w:rsid w:val="009477B5"/>
    <w:rsid w:val="00962FA7"/>
    <w:rsid w:val="009652AB"/>
    <w:rsid w:val="0097109D"/>
    <w:rsid w:val="00975DB6"/>
    <w:rsid w:val="009822B8"/>
    <w:rsid w:val="009879B2"/>
    <w:rsid w:val="00991329"/>
    <w:rsid w:val="009A2AAE"/>
    <w:rsid w:val="009B15EA"/>
    <w:rsid w:val="009B18E6"/>
    <w:rsid w:val="009C1A9B"/>
    <w:rsid w:val="009D63AE"/>
    <w:rsid w:val="00A0153A"/>
    <w:rsid w:val="00A1014C"/>
    <w:rsid w:val="00A103C6"/>
    <w:rsid w:val="00A15522"/>
    <w:rsid w:val="00A24157"/>
    <w:rsid w:val="00A41440"/>
    <w:rsid w:val="00A65992"/>
    <w:rsid w:val="00A709D8"/>
    <w:rsid w:val="00A71679"/>
    <w:rsid w:val="00A90A09"/>
    <w:rsid w:val="00A91AE3"/>
    <w:rsid w:val="00AA492A"/>
    <w:rsid w:val="00AA5C73"/>
    <w:rsid w:val="00AD6F56"/>
    <w:rsid w:val="00AE7AA0"/>
    <w:rsid w:val="00B0560D"/>
    <w:rsid w:val="00B21043"/>
    <w:rsid w:val="00B21110"/>
    <w:rsid w:val="00B216E0"/>
    <w:rsid w:val="00B23BFA"/>
    <w:rsid w:val="00B2442B"/>
    <w:rsid w:val="00B674B7"/>
    <w:rsid w:val="00BA145F"/>
    <w:rsid w:val="00BA3CA2"/>
    <w:rsid w:val="00BB5AA3"/>
    <w:rsid w:val="00BC34DE"/>
    <w:rsid w:val="00BD5D01"/>
    <w:rsid w:val="00C02F05"/>
    <w:rsid w:val="00C0566D"/>
    <w:rsid w:val="00C07DAA"/>
    <w:rsid w:val="00C109D2"/>
    <w:rsid w:val="00C25240"/>
    <w:rsid w:val="00C258E3"/>
    <w:rsid w:val="00C35885"/>
    <w:rsid w:val="00C431C9"/>
    <w:rsid w:val="00C44652"/>
    <w:rsid w:val="00C4794C"/>
    <w:rsid w:val="00C5299C"/>
    <w:rsid w:val="00C52D95"/>
    <w:rsid w:val="00C62C8A"/>
    <w:rsid w:val="00C821AB"/>
    <w:rsid w:val="00C83939"/>
    <w:rsid w:val="00C87478"/>
    <w:rsid w:val="00C97B0D"/>
    <w:rsid w:val="00C97E85"/>
    <w:rsid w:val="00CA423C"/>
    <w:rsid w:val="00CA662E"/>
    <w:rsid w:val="00CA6A5C"/>
    <w:rsid w:val="00CB047C"/>
    <w:rsid w:val="00CB6A30"/>
    <w:rsid w:val="00CD0655"/>
    <w:rsid w:val="00CD181A"/>
    <w:rsid w:val="00CE3201"/>
    <w:rsid w:val="00D047B8"/>
    <w:rsid w:val="00D12BB7"/>
    <w:rsid w:val="00D13D55"/>
    <w:rsid w:val="00D20BEA"/>
    <w:rsid w:val="00D40A7D"/>
    <w:rsid w:val="00D71BF8"/>
    <w:rsid w:val="00D72254"/>
    <w:rsid w:val="00D947CF"/>
    <w:rsid w:val="00DA11BE"/>
    <w:rsid w:val="00E208C4"/>
    <w:rsid w:val="00E2565E"/>
    <w:rsid w:val="00E27EED"/>
    <w:rsid w:val="00E343A0"/>
    <w:rsid w:val="00E71425"/>
    <w:rsid w:val="00E7206C"/>
    <w:rsid w:val="00E82EB9"/>
    <w:rsid w:val="00E9254B"/>
    <w:rsid w:val="00E93487"/>
    <w:rsid w:val="00EA1AC8"/>
    <w:rsid w:val="00EA76C8"/>
    <w:rsid w:val="00EB036B"/>
    <w:rsid w:val="00EB37ED"/>
    <w:rsid w:val="00EB4B44"/>
    <w:rsid w:val="00EC1C64"/>
    <w:rsid w:val="00ED03C6"/>
    <w:rsid w:val="00ED3B25"/>
    <w:rsid w:val="00ED6E42"/>
    <w:rsid w:val="00F00004"/>
    <w:rsid w:val="00F0218C"/>
    <w:rsid w:val="00F176FA"/>
    <w:rsid w:val="00F24013"/>
    <w:rsid w:val="00F300CC"/>
    <w:rsid w:val="00F36712"/>
    <w:rsid w:val="00F43113"/>
    <w:rsid w:val="00F45CE3"/>
    <w:rsid w:val="00F51918"/>
    <w:rsid w:val="00F61EDF"/>
    <w:rsid w:val="00F65678"/>
    <w:rsid w:val="00F90BDA"/>
    <w:rsid w:val="00FB2B1B"/>
    <w:rsid w:val="00FC4380"/>
    <w:rsid w:val="00FD7E3D"/>
    <w:rsid w:val="00FF4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965836"/>
  <w15:chartTrackingRefBased/>
  <w15:docId w15:val="{89CA4C51-9E23-4FB8-8717-C431295AC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7E3D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1679"/>
  </w:style>
  <w:style w:type="paragraph" w:styleId="Piedepgina">
    <w:name w:val="footer"/>
    <w:basedOn w:val="Normal"/>
    <w:link w:val="Piedepgina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1679"/>
  </w:style>
  <w:style w:type="paragraph" w:styleId="Prrafodelista">
    <w:name w:val="List Paragraph"/>
    <w:basedOn w:val="Normal"/>
    <w:uiPriority w:val="34"/>
    <w:qFormat/>
    <w:rsid w:val="00FD7E3D"/>
    <w:pPr>
      <w:spacing w:after="160" w:line="259" w:lineRule="auto"/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07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7624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CD0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EA76C8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B21110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B211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B15EA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B15E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9B15E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4.png"/><Relationship Id="rId7" Type="http://schemas.openxmlformats.org/officeDocument/2006/relationships/hyperlink" Target="http://www.tjacoahuila.org" TargetMode="External"/><Relationship Id="rId2" Type="http://schemas.openxmlformats.org/officeDocument/2006/relationships/image" Target="media/image3.svg"/><Relationship Id="rId1" Type="http://schemas.openxmlformats.org/officeDocument/2006/relationships/image" Target="media/image2.png"/><Relationship Id="rId6" Type="http://schemas.openxmlformats.org/officeDocument/2006/relationships/image" Target="media/image7.svg"/><Relationship Id="rId5" Type="http://schemas.openxmlformats.org/officeDocument/2006/relationships/image" Target="media/image6.png"/><Relationship Id="rId10" Type="http://schemas.openxmlformats.org/officeDocument/2006/relationships/hyperlink" Target="mailto:tribunaldejusticiaadministrativa@tjacoahuila.org.mx" TargetMode="External"/><Relationship Id="rId4" Type="http://schemas.openxmlformats.org/officeDocument/2006/relationships/image" Target="media/image5.svg"/><Relationship Id="rId9" Type="http://schemas.openxmlformats.org/officeDocument/2006/relationships/image" Target="media/image9.sv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D8E5E7-4004-4871-BAEE-4730BC6DD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688</Characters>
  <Application>Microsoft Office Word</Application>
  <DocSecurity>4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GG</dc:creator>
  <cp:keywords/>
  <dc:description/>
  <cp:lastModifiedBy>Marcela Liliana Aguirre Guerrero</cp:lastModifiedBy>
  <cp:revision>2</cp:revision>
  <cp:lastPrinted>2025-01-09T16:39:00Z</cp:lastPrinted>
  <dcterms:created xsi:type="dcterms:W3CDTF">2025-01-13T16:28:00Z</dcterms:created>
  <dcterms:modified xsi:type="dcterms:W3CDTF">2025-01-13T16:28:00Z</dcterms:modified>
</cp:coreProperties>
</file>