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FE5B1" w14:textId="77777777" w:rsidR="00680351" w:rsidRDefault="00680351" w:rsidP="00680351">
      <w:pPr>
        <w:spacing w:after="0" w:line="240" w:lineRule="auto"/>
        <w:jc w:val="center"/>
        <w:rPr>
          <w:rFonts w:ascii="Century Gothic" w:hAnsi="Century Gothic"/>
          <w:b/>
        </w:rPr>
      </w:pPr>
      <w:r>
        <w:rPr>
          <w:rFonts w:ascii="Century Gothic" w:hAnsi="Century Gothic"/>
          <w:b/>
        </w:rPr>
        <w:t xml:space="preserve">Artículo 34 de la Ley de Acceso a la Información Pública </w:t>
      </w:r>
    </w:p>
    <w:p w14:paraId="54FB73FE" w14:textId="77777777" w:rsidR="00680351" w:rsidRDefault="00680351" w:rsidP="00680351">
      <w:pPr>
        <w:spacing w:after="0" w:line="240" w:lineRule="auto"/>
        <w:jc w:val="center"/>
        <w:rPr>
          <w:rFonts w:ascii="Century Gothic" w:hAnsi="Century Gothic"/>
          <w:b/>
        </w:rPr>
      </w:pPr>
      <w:r>
        <w:rPr>
          <w:rFonts w:ascii="Century Gothic" w:hAnsi="Century Gothic"/>
          <w:b/>
        </w:rPr>
        <w:t>para el Estado de Coahuila</w:t>
      </w:r>
    </w:p>
    <w:p w14:paraId="4D9DB60F" w14:textId="77777777" w:rsidR="00680351" w:rsidRDefault="00680351" w:rsidP="00680351">
      <w:pPr>
        <w:spacing w:after="0" w:line="240" w:lineRule="auto"/>
        <w:jc w:val="center"/>
        <w:rPr>
          <w:rFonts w:ascii="Century Gothic" w:hAnsi="Century Gothic"/>
          <w:b/>
        </w:rPr>
      </w:pPr>
    </w:p>
    <w:p w14:paraId="365E2EAC" w14:textId="77777777" w:rsidR="00680351" w:rsidRDefault="00680351" w:rsidP="00680351">
      <w:pPr>
        <w:spacing w:after="0" w:line="240" w:lineRule="auto"/>
        <w:jc w:val="center"/>
        <w:rPr>
          <w:rFonts w:ascii="Century Gothic" w:hAnsi="Century Gothic"/>
        </w:rPr>
      </w:pPr>
    </w:p>
    <w:p w14:paraId="5631526D" w14:textId="77777777" w:rsidR="00680351" w:rsidRPr="00680351" w:rsidRDefault="00680351" w:rsidP="00680351">
      <w:pPr>
        <w:spacing w:after="0" w:line="240" w:lineRule="auto"/>
        <w:jc w:val="both"/>
        <w:rPr>
          <w:rFonts w:ascii="Century Gothic" w:hAnsi="Century Gothic"/>
        </w:rPr>
      </w:pPr>
      <w:r w:rsidRPr="00680351">
        <w:rPr>
          <w:rFonts w:ascii="Century Gothic" w:hAnsi="Century Gothic"/>
          <w:b/>
        </w:rPr>
        <w:t>Fracción IX.-</w:t>
      </w:r>
      <w:r w:rsidRPr="00680351">
        <w:rPr>
          <w:rFonts w:ascii="Century Gothic" w:hAnsi="Century Gothic"/>
        </w:rPr>
        <w:t xml:space="preserve"> Calendario de días inhábiles; </w:t>
      </w:r>
    </w:p>
    <w:p w14:paraId="3D34068D" w14:textId="77777777" w:rsidR="00680351" w:rsidRPr="00680351" w:rsidRDefault="00680351" w:rsidP="00680351">
      <w:pPr>
        <w:spacing w:after="0" w:line="240" w:lineRule="auto"/>
        <w:jc w:val="center"/>
        <w:rPr>
          <w:rFonts w:ascii="Century Gothic" w:hAnsi="Century Gothic"/>
        </w:rPr>
      </w:pPr>
    </w:p>
    <w:p w14:paraId="0FEC18BB" w14:textId="77777777" w:rsidR="00680351" w:rsidRPr="00680351" w:rsidRDefault="00680351" w:rsidP="00680351">
      <w:pPr>
        <w:spacing w:after="0" w:line="240" w:lineRule="auto"/>
        <w:jc w:val="center"/>
        <w:rPr>
          <w:rFonts w:ascii="Century Gothic" w:hAnsi="Century Gothic"/>
        </w:rPr>
      </w:pPr>
    </w:p>
    <w:p w14:paraId="6F7D78AD" w14:textId="5CB30EF8" w:rsidR="00680351" w:rsidRPr="00680351" w:rsidRDefault="00680351" w:rsidP="00680351">
      <w:pPr>
        <w:spacing w:after="0" w:line="240" w:lineRule="auto"/>
        <w:jc w:val="center"/>
        <w:rPr>
          <w:rFonts w:ascii="Century Gothic" w:hAnsi="Century Gothic"/>
          <w:b/>
          <w:u w:val="single"/>
        </w:rPr>
      </w:pPr>
      <w:r w:rsidRPr="00680351">
        <w:rPr>
          <w:rFonts w:ascii="Century Gothic" w:hAnsi="Century Gothic"/>
          <w:b/>
          <w:u w:val="single"/>
        </w:rPr>
        <w:t>Calendario de Labores 202</w:t>
      </w:r>
      <w:r w:rsidR="00EE0832">
        <w:rPr>
          <w:rFonts w:ascii="Century Gothic" w:hAnsi="Century Gothic"/>
          <w:b/>
          <w:u w:val="single"/>
        </w:rPr>
        <w:t>2</w:t>
      </w:r>
    </w:p>
    <w:p w14:paraId="3B8B6E46" w14:textId="77777777" w:rsidR="00680351" w:rsidRPr="00680351" w:rsidRDefault="00680351" w:rsidP="00680351">
      <w:pPr>
        <w:spacing w:after="0" w:line="240" w:lineRule="auto"/>
        <w:jc w:val="center"/>
        <w:rPr>
          <w:rFonts w:ascii="Century Gothic" w:hAnsi="Century Gothic"/>
          <w:b/>
          <w:u w:val="single"/>
        </w:rPr>
      </w:pPr>
    </w:p>
    <w:p w14:paraId="6F123CC8" w14:textId="77777777" w:rsidR="00680351" w:rsidRPr="00680351" w:rsidRDefault="00680351" w:rsidP="00680351">
      <w:pPr>
        <w:spacing w:after="0" w:line="240" w:lineRule="auto"/>
        <w:jc w:val="center"/>
        <w:rPr>
          <w:rFonts w:ascii="Century Gothic" w:hAnsi="Century Gothic"/>
        </w:rPr>
      </w:pPr>
    </w:p>
    <w:p w14:paraId="29B2BE31" w14:textId="77777777" w:rsidR="00680351" w:rsidRPr="00680351" w:rsidRDefault="00680351" w:rsidP="00680351">
      <w:pPr>
        <w:tabs>
          <w:tab w:val="left" w:pos="837"/>
          <w:tab w:val="left" w:pos="2502"/>
        </w:tabs>
        <w:spacing w:after="120" w:line="240" w:lineRule="auto"/>
        <w:jc w:val="both"/>
        <w:rPr>
          <w:rFonts w:ascii="Century Gothic" w:eastAsia="Times New Roman" w:hAnsi="Century Gothic" w:cs="Arial"/>
          <w:bCs/>
          <w:bdr w:val="none" w:sz="0" w:space="0" w:color="auto" w:frame="1"/>
        </w:rPr>
      </w:pPr>
      <w:r w:rsidRPr="00680351">
        <w:rPr>
          <w:rFonts w:ascii="Century Gothic" w:eastAsia="Times New Roman" w:hAnsi="Century Gothic" w:cs="Arial"/>
          <w:b/>
          <w:bdr w:val="none" w:sz="0" w:space="0" w:color="auto" w:frame="1"/>
        </w:rPr>
        <w:t xml:space="preserve">Primero. </w:t>
      </w:r>
      <w:r w:rsidRPr="00680351">
        <w:rPr>
          <w:rFonts w:ascii="Century Gothic" w:eastAsia="Times New Roman" w:hAnsi="Century Gothic" w:cs="Arial"/>
          <w:bCs/>
          <w:bdr w:val="none" w:sz="0" w:space="0" w:color="auto" w:frame="1"/>
        </w:rPr>
        <w:t>Con fundamento en lo dispuesto por los artículos 31 de la Ley del Procedimiento Contencioso Administrativo para el Estado de Coahuila de Zaragoza, 19 de la Ley de Amparo, reglamentaria de los artículos 103 y 107 de la Constitución Política de los Estados Unidos Mexicanos y 74 de la Ley Federal del Trabajo, se declaran días inhábiles, en los cuales habrá suspensión de labores y no habrá actuaciones jurisdiccionales, los siguientes:</w:t>
      </w:r>
    </w:p>
    <w:p w14:paraId="49372941" w14:textId="77777777" w:rsidR="00680351" w:rsidRPr="00680351" w:rsidRDefault="00680351" w:rsidP="00680351">
      <w:pPr>
        <w:pStyle w:val="Prrafodelista"/>
        <w:tabs>
          <w:tab w:val="left" w:pos="837"/>
          <w:tab w:val="left" w:pos="2502"/>
        </w:tabs>
        <w:spacing w:after="120" w:line="240" w:lineRule="auto"/>
        <w:ind w:left="572"/>
        <w:rPr>
          <w:rFonts w:ascii="Century Gothic" w:eastAsia="Times New Roman" w:hAnsi="Century Gothic" w:cs="Arial"/>
          <w:b/>
          <w:bdr w:val="none" w:sz="0" w:space="0" w:color="auto" w:frame="1"/>
        </w:rPr>
      </w:pPr>
    </w:p>
    <w:p w14:paraId="18CFE5A3" w14:textId="50D76537" w:rsidR="00680351" w:rsidRPr="00680351" w:rsidRDefault="00680351" w:rsidP="00680351">
      <w:pPr>
        <w:pStyle w:val="Prrafodelista"/>
        <w:numPr>
          <w:ilvl w:val="0"/>
          <w:numId w:val="1"/>
        </w:numPr>
        <w:tabs>
          <w:tab w:val="left" w:pos="837"/>
          <w:tab w:val="left" w:pos="2502"/>
        </w:tabs>
        <w:spacing w:after="120" w:line="240" w:lineRule="auto"/>
        <w:rPr>
          <w:rFonts w:ascii="Century Gothic" w:eastAsia="Times New Roman" w:hAnsi="Century Gothic" w:cs="Arial"/>
          <w:bCs/>
          <w:bdr w:val="none" w:sz="0" w:space="0" w:color="auto" w:frame="1"/>
        </w:rPr>
      </w:pPr>
      <w:r w:rsidRPr="00680351">
        <w:rPr>
          <w:rFonts w:ascii="Century Gothic" w:eastAsia="Times New Roman" w:hAnsi="Century Gothic" w:cs="Arial"/>
          <w:bCs/>
          <w:bdr w:val="none" w:sz="0" w:space="0" w:color="auto" w:frame="1"/>
        </w:rPr>
        <w:t xml:space="preserve">07 de febrero </w:t>
      </w:r>
    </w:p>
    <w:p w14:paraId="7AA94ADE" w14:textId="7939358F" w:rsidR="00680351" w:rsidRPr="00680351" w:rsidRDefault="00680351" w:rsidP="00680351">
      <w:pPr>
        <w:pStyle w:val="Prrafodelista"/>
        <w:numPr>
          <w:ilvl w:val="0"/>
          <w:numId w:val="1"/>
        </w:numPr>
        <w:tabs>
          <w:tab w:val="left" w:pos="837"/>
          <w:tab w:val="left" w:pos="2502"/>
        </w:tabs>
        <w:spacing w:after="120" w:line="240" w:lineRule="auto"/>
        <w:rPr>
          <w:rFonts w:ascii="Century Gothic" w:eastAsia="Times New Roman" w:hAnsi="Century Gothic" w:cs="Arial"/>
          <w:bCs/>
          <w:bdr w:val="none" w:sz="0" w:space="0" w:color="auto" w:frame="1"/>
        </w:rPr>
      </w:pPr>
      <w:r w:rsidRPr="00680351">
        <w:rPr>
          <w:rFonts w:ascii="Century Gothic" w:eastAsia="Times New Roman" w:hAnsi="Century Gothic" w:cs="Arial"/>
          <w:bCs/>
          <w:bdr w:val="none" w:sz="0" w:space="0" w:color="auto" w:frame="1"/>
        </w:rPr>
        <w:t>21 de marzo</w:t>
      </w:r>
    </w:p>
    <w:p w14:paraId="22C8A590" w14:textId="489D1C24" w:rsidR="00680351" w:rsidRPr="00680351" w:rsidRDefault="00680351" w:rsidP="00680351">
      <w:pPr>
        <w:pStyle w:val="Prrafodelista"/>
        <w:numPr>
          <w:ilvl w:val="0"/>
          <w:numId w:val="1"/>
        </w:numPr>
        <w:tabs>
          <w:tab w:val="left" w:pos="837"/>
          <w:tab w:val="left" w:pos="2502"/>
        </w:tabs>
        <w:spacing w:after="120" w:line="240" w:lineRule="auto"/>
        <w:rPr>
          <w:rFonts w:ascii="Century Gothic" w:eastAsia="Times New Roman" w:hAnsi="Century Gothic" w:cs="Arial"/>
          <w:bCs/>
          <w:bdr w:val="none" w:sz="0" w:space="0" w:color="auto" w:frame="1"/>
        </w:rPr>
      </w:pPr>
      <w:r w:rsidRPr="00680351">
        <w:rPr>
          <w:rFonts w:ascii="Century Gothic" w:eastAsia="Times New Roman" w:hAnsi="Century Gothic" w:cs="Arial"/>
          <w:bCs/>
          <w:bdr w:val="none" w:sz="0" w:space="0" w:color="auto" w:frame="1"/>
        </w:rPr>
        <w:t>11 al 15 de abril</w:t>
      </w:r>
    </w:p>
    <w:p w14:paraId="4E4D6CCA" w14:textId="436CE761" w:rsidR="00680351" w:rsidRPr="00680351" w:rsidRDefault="00680351" w:rsidP="00680351">
      <w:pPr>
        <w:pStyle w:val="Prrafodelista"/>
        <w:numPr>
          <w:ilvl w:val="0"/>
          <w:numId w:val="1"/>
        </w:numPr>
        <w:tabs>
          <w:tab w:val="left" w:pos="837"/>
          <w:tab w:val="left" w:pos="2502"/>
        </w:tabs>
        <w:spacing w:after="120" w:line="240" w:lineRule="auto"/>
        <w:rPr>
          <w:rFonts w:ascii="Century Gothic" w:eastAsia="Times New Roman" w:hAnsi="Century Gothic" w:cs="Arial"/>
          <w:bCs/>
          <w:bdr w:val="none" w:sz="0" w:space="0" w:color="auto" w:frame="1"/>
        </w:rPr>
      </w:pPr>
      <w:r w:rsidRPr="00680351">
        <w:rPr>
          <w:rFonts w:ascii="Century Gothic" w:eastAsia="Times New Roman" w:hAnsi="Century Gothic" w:cs="Arial"/>
          <w:bCs/>
          <w:bdr w:val="none" w:sz="0" w:space="0" w:color="auto" w:frame="1"/>
        </w:rPr>
        <w:t>5 de mayo</w:t>
      </w:r>
    </w:p>
    <w:p w14:paraId="43F544C9" w14:textId="47267D87" w:rsidR="00680351" w:rsidRPr="00680351" w:rsidRDefault="00680351" w:rsidP="00680351">
      <w:pPr>
        <w:pStyle w:val="Prrafodelista"/>
        <w:numPr>
          <w:ilvl w:val="0"/>
          <w:numId w:val="1"/>
        </w:numPr>
        <w:tabs>
          <w:tab w:val="left" w:pos="837"/>
          <w:tab w:val="left" w:pos="2502"/>
        </w:tabs>
        <w:spacing w:after="120" w:line="240" w:lineRule="auto"/>
        <w:rPr>
          <w:rFonts w:ascii="Century Gothic" w:eastAsia="Times New Roman" w:hAnsi="Century Gothic" w:cs="Arial"/>
          <w:bCs/>
          <w:bdr w:val="none" w:sz="0" w:space="0" w:color="auto" w:frame="1"/>
        </w:rPr>
      </w:pPr>
      <w:r w:rsidRPr="00680351">
        <w:rPr>
          <w:rFonts w:ascii="Century Gothic" w:eastAsia="Times New Roman" w:hAnsi="Century Gothic" w:cs="Arial"/>
          <w:bCs/>
          <w:bdr w:val="none" w:sz="0" w:space="0" w:color="auto" w:frame="1"/>
        </w:rPr>
        <w:t>10 de mayo</w:t>
      </w:r>
    </w:p>
    <w:p w14:paraId="2AAA8E4B" w14:textId="6BAFA44D" w:rsidR="00680351" w:rsidRPr="00680351" w:rsidRDefault="00680351" w:rsidP="00680351">
      <w:pPr>
        <w:pStyle w:val="Prrafodelista"/>
        <w:numPr>
          <w:ilvl w:val="0"/>
          <w:numId w:val="1"/>
        </w:numPr>
        <w:tabs>
          <w:tab w:val="left" w:pos="837"/>
          <w:tab w:val="left" w:pos="2502"/>
        </w:tabs>
        <w:spacing w:after="120" w:line="240" w:lineRule="auto"/>
        <w:rPr>
          <w:rFonts w:ascii="Century Gothic" w:eastAsia="Times New Roman" w:hAnsi="Century Gothic" w:cs="Arial"/>
          <w:bCs/>
          <w:bdr w:val="none" w:sz="0" w:space="0" w:color="auto" w:frame="1"/>
        </w:rPr>
      </w:pPr>
      <w:r w:rsidRPr="00680351">
        <w:rPr>
          <w:rFonts w:ascii="Century Gothic" w:eastAsia="Times New Roman" w:hAnsi="Century Gothic" w:cs="Arial"/>
          <w:bCs/>
          <w:bdr w:val="none" w:sz="0" w:space="0" w:color="auto" w:frame="1"/>
        </w:rPr>
        <w:t>16 de septiembre</w:t>
      </w:r>
    </w:p>
    <w:p w14:paraId="4C3F1928" w14:textId="57F05407" w:rsidR="00680351" w:rsidRPr="00680351" w:rsidRDefault="00680351" w:rsidP="00680351">
      <w:pPr>
        <w:pStyle w:val="Prrafodelista"/>
        <w:numPr>
          <w:ilvl w:val="0"/>
          <w:numId w:val="1"/>
        </w:numPr>
        <w:tabs>
          <w:tab w:val="left" w:pos="837"/>
          <w:tab w:val="left" w:pos="2502"/>
        </w:tabs>
        <w:spacing w:after="120" w:line="240" w:lineRule="auto"/>
        <w:rPr>
          <w:rFonts w:ascii="Century Gothic" w:eastAsia="Times New Roman" w:hAnsi="Century Gothic" w:cs="Arial"/>
          <w:bCs/>
          <w:bdr w:val="none" w:sz="0" w:space="0" w:color="auto" w:frame="1"/>
        </w:rPr>
      </w:pPr>
      <w:r w:rsidRPr="00680351">
        <w:rPr>
          <w:rFonts w:ascii="Century Gothic" w:eastAsia="Times New Roman" w:hAnsi="Century Gothic" w:cs="Arial"/>
          <w:bCs/>
          <w:bdr w:val="none" w:sz="0" w:space="0" w:color="auto" w:frame="1"/>
        </w:rPr>
        <w:t>12 de octubre</w:t>
      </w:r>
    </w:p>
    <w:p w14:paraId="39D478B2" w14:textId="6B907269" w:rsidR="00680351" w:rsidRPr="00680351" w:rsidRDefault="00680351" w:rsidP="00680351">
      <w:pPr>
        <w:pStyle w:val="Prrafodelista"/>
        <w:numPr>
          <w:ilvl w:val="0"/>
          <w:numId w:val="1"/>
        </w:numPr>
        <w:tabs>
          <w:tab w:val="left" w:pos="837"/>
          <w:tab w:val="left" w:pos="2502"/>
        </w:tabs>
        <w:spacing w:after="120" w:line="240" w:lineRule="auto"/>
        <w:rPr>
          <w:rFonts w:ascii="Century Gothic" w:eastAsia="Times New Roman" w:hAnsi="Century Gothic" w:cs="Arial"/>
          <w:bCs/>
          <w:bdr w:val="none" w:sz="0" w:space="0" w:color="auto" w:frame="1"/>
        </w:rPr>
      </w:pPr>
      <w:r w:rsidRPr="00680351">
        <w:rPr>
          <w:rFonts w:ascii="Century Gothic" w:eastAsia="Times New Roman" w:hAnsi="Century Gothic" w:cs="Arial"/>
          <w:bCs/>
          <w:bdr w:val="none" w:sz="0" w:space="0" w:color="auto" w:frame="1"/>
        </w:rPr>
        <w:t>2 de noviembre</w:t>
      </w:r>
    </w:p>
    <w:p w14:paraId="1F820C0D" w14:textId="46E27481" w:rsidR="00680351" w:rsidRPr="00680351" w:rsidRDefault="00680351" w:rsidP="00680351">
      <w:pPr>
        <w:pStyle w:val="Prrafodelista"/>
        <w:numPr>
          <w:ilvl w:val="0"/>
          <w:numId w:val="1"/>
        </w:numPr>
        <w:tabs>
          <w:tab w:val="left" w:pos="837"/>
          <w:tab w:val="left" w:pos="2502"/>
        </w:tabs>
        <w:spacing w:after="120" w:line="240" w:lineRule="auto"/>
        <w:rPr>
          <w:rFonts w:ascii="Century Gothic" w:eastAsia="Times New Roman" w:hAnsi="Century Gothic" w:cs="Arial"/>
          <w:bCs/>
          <w:bdr w:val="none" w:sz="0" w:space="0" w:color="auto" w:frame="1"/>
        </w:rPr>
      </w:pPr>
      <w:r w:rsidRPr="00680351">
        <w:rPr>
          <w:rFonts w:ascii="Century Gothic" w:eastAsia="Times New Roman" w:hAnsi="Century Gothic" w:cs="Arial"/>
          <w:bCs/>
          <w:bdr w:val="none" w:sz="0" w:space="0" w:color="auto" w:frame="1"/>
        </w:rPr>
        <w:t>21 de noviembre</w:t>
      </w:r>
    </w:p>
    <w:p w14:paraId="19ACC7F1" w14:textId="77777777" w:rsidR="00680351" w:rsidRPr="00680351" w:rsidRDefault="00680351" w:rsidP="00680351">
      <w:pPr>
        <w:pStyle w:val="Prrafodelista"/>
        <w:numPr>
          <w:ilvl w:val="0"/>
          <w:numId w:val="1"/>
        </w:numPr>
        <w:tabs>
          <w:tab w:val="left" w:pos="837"/>
          <w:tab w:val="left" w:pos="2502"/>
        </w:tabs>
        <w:spacing w:after="120" w:line="240" w:lineRule="auto"/>
        <w:ind w:left="567" w:hanging="357"/>
        <w:rPr>
          <w:rFonts w:ascii="Century Gothic" w:eastAsia="Times New Roman" w:hAnsi="Century Gothic" w:cs="Calibri"/>
          <w:lang w:eastAsia="es-MX"/>
        </w:rPr>
      </w:pPr>
      <w:r w:rsidRPr="00680351">
        <w:rPr>
          <w:rFonts w:ascii="Century Gothic" w:hAnsi="Century Gothic"/>
        </w:rPr>
        <w:t>Los demás que el Pleno de la Sala Superior determine como inhábiles.</w:t>
      </w:r>
    </w:p>
    <w:p w14:paraId="17B7632B" w14:textId="77777777" w:rsidR="00680351" w:rsidRPr="00680351" w:rsidRDefault="00680351" w:rsidP="00680351">
      <w:pPr>
        <w:tabs>
          <w:tab w:val="left" w:pos="837"/>
          <w:tab w:val="left" w:pos="2502"/>
        </w:tabs>
        <w:spacing w:after="0" w:line="240" w:lineRule="auto"/>
        <w:rPr>
          <w:rFonts w:ascii="Century Gothic" w:eastAsia="Times New Roman" w:hAnsi="Century Gothic" w:cs="Calibri"/>
          <w:lang w:eastAsia="es-MX"/>
        </w:rPr>
      </w:pPr>
    </w:p>
    <w:p w14:paraId="71642E14" w14:textId="77777777" w:rsidR="00680351" w:rsidRPr="00680351" w:rsidRDefault="00680351" w:rsidP="00680351">
      <w:pPr>
        <w:spacing w:after="0" w:line="360" w:lineRule="auto"/>
        <w:ind w:right="284" w:firstLine="567"/>
        <w:jc w:val="both"/>
        <w:rPr>
          <w:rFonts w:ascii="Century Gothic" w:eastAsia="Times New Roman" w:hAnsi="Century Gothic" w:cs="Arial"/>
          <w:bdr w:val="none" w:sz="0" w:space="0" w:color="auto" w:frame="1"/>
        </w:rPr>
      </w:pPr>
      <w:proofErr w:type="gramStart"/>
      <w:r w:rsidRPr="00680351">
        <w:rPr>
          <w:rFonts w:ascii="Century Gothic" w:eastAsia="Times New Roman" w:hAnsi="Century Gothic" w:cs="Arial"/>
          <w:b/>
          <w:bdr w:val="none" w:sz="0" w:space="0" w:color="auto" w:frame="1"/>
        </w:rPr>
        <w:t>Segundo.-</w:t>
      </w:r>
      <w:proofErr w:type="gramEnd"/>
      <w:r w:rsidRPr="00680351">
        <w:rPr>
          <w:rFonts w:ascii="Century Gothic" w:eastAsia="Times New Roman" w:hAnsi="Century Gothic" w:cs="Arial"/>
          <w:b/>
          <w:bdr w:val="none" w:sz="0" w:space="0" w:color="auto" w:frame="1"/>
        </w:rPr>
        <w:t xml:space="preserve"> Período Vacacional. </w:t>
      </w:r>
      <w:r w:rsidRPr="00680351">
        <w:rPr>
          <w:rFonts w:ascii="Century Gothic" w:eastAsia="Times New Roman" w:hAnsi="Century Gothic" w:cs="Arial"/>
          <w:bdr w:val="none" w:sz="0" w:space="0" w:color="auto" w:frame="1"/>
        </w:rPr>
        <w:t>Con fundamento en el artículo 36 de la Ley Orgánica del Tribunal de Justicia Administrativa de Coahuila de Zaragoza, en relación con el artículo 7 del mismo ordenamiento, se fijan los periodos vacacionales del personal del Tribunal de Justicia Administrativa de Coahuila de Zaragoza, como se expresa a continuación:</w:t>
      </w:r>
    </w:p>
    <w:p w14:paraId="2B489DB8" w14:textId="77777777" w:rsidR="00680351" w:rsidRPr="00680351" w:rsidRDefault="00680351" w:rsidP="00680351">
      <w:pPr>
        <w:spacing w:after="0" w:line="240" w:lineRule="auto"/>
        <w:ind w:right="284" w:firstLine="567"/>
        <w:jc w:val="both"/>
        <w:rPr>
          <w:rFonts w:ascii="Century Gothic" w:eastAsia="Times New Roman" w:hAnsi="Century Gothic" w:cs="Arial"/>
          <w:b/>
          <w:bdr w:val="none" w:sz="0" w:space="0" w:color="auto" w:frame="1"/>
        </w:rPr>
      </w:pPr>
    </w:p>
    <w:p w14:paraId="1BD7576A" w14:textId="41D71701" w:rsidR="00680351" w:rsidRPr="00680351" w:rsidRDefault="00680351" w:rsidP="00680351">
      <w:pPr>
        <w:spacing w:after="0" w:line="360" w:lineRule="auto"/>
        <w:ind w:right="284" w:firstLine="567"/>
        <w:jc w:val="both"/>
        <w:rPr>
          <w:rFonts w:ascii="Century Gothic" w:eastAsia="Times New Roman" w:hAnsi="Century Gothic" w:cs="Arial"/>
          <w:bCs/>
          <w:bdr w:val="none" w:sz="0" w:space="0" w:color="auto" w:frame="1"/>
        </w:rPr>
      </w:pPr>
      <w:r w:rsidRPr="00680351">
        <w:rPr>
          <w:rFonts w:ascii="Century Gothic" w:eastAsia="Times New Roman" w:hAnsi="Century Gothic" w:cs="Arial"/>
          <w:bdr w:val="none" w:sz="0" w:space="0" w:color="auto" w:frame="1"/>
        </w:rPr>
        <w:t>El primer periodo vacacional del año dos mil veintidós, iniciará el lunes dieciocho de julio al viernes veintinueve de julio de dos mil veintidós; reanudando labores el día uno de agosto de dos mil veintidós</w:t>
      </w:r>
      <w:r w:rsidRPr="00680351">
        <w:rPr>
          <w:rFonts w:ascii="Century Gothic" w:eastAsia="Times New Roman" w:hAnsi="Century Gothic" w:cs="Arial"/>
          <w:bCs/>
          <w:bdr w:val="none" w:sz="0" w:space="0" w:color="auto" w:frame="1"/>
        </w:rPr>
        <w:t>.</w:t>
      </w:r>
    </w:p>
    <w:p w14:paraId="2F41407F" w14:textId="77777777" w:rsidR="00680351" w:rsidRPr="00680351" w:rsidRDefault="00680351" w:rsidP="00680351">
      <w:pPr>
        <w:spacing w:after="0" w:line="360" w:lineRule="auto"/>
        <w:ind w:right="284" w:firstLine="567"/>
        <w:jc w:val="both"/>
        <w:rPr>
          <w:rFonts w:ascii="Century Gothic" w:eastAsia="Times New Roman" w:hAnsi="Century Gothic" w:cs="Arial"/>
          <w:bCs/>
          <w:bdr w:val="none" w:sz="0" w:space="0" w:color="auto" w:frame="1"/>
        </w:rPr>
      </w:pPr>
    </w:p>
    <w:p w14:paraId="086B3696" w14:textId="77777777" w:rsidR="00680351" w:rsidRPr="00680351" w:rsidRDefault="00680351" w:rsidP="00680351">
      <w:pPr>
        <w:spacing w:after="0" w:line="360" w:lineRule="auto"/>
        <w:ind w:right="284" w:firstLine="567"/>
        <w:jc w:val="both"/>
        <w:rPr>
          <w:rFonts w:ascii="Century Gothic" w:hAnsi="Century Gothic"/>
        </w:rPr>
      </w:pPr>
      <w:r w:rsidRPr="00680351">
        <w:rPr>
          <w:rFonts w:ascii="Century Gothic" w:hAnsi="Century Gothic"/>
        </w:rPr>
        <w:lastRenderedPageBreak/>
        <w:t>El segundo periodo vacacional se establecerá una vez que se defina el calendario escolar 2022-2023 por la Secretaría de Educación Pública.</w:t>
      </w:r>
    </w:p>
    <w:p w14:paraId="3DE36D0F" w14:textId="77777777" w:rsidR="00680351" w:rsidRPr="00680351" w:rsidRDefault="00680351" w:rsidP="00680351">
      <w:pPr>
        <w:spacing w:after="0" w:line="360" w:lineRule="auto"/>
        <w:ind w:right="284" w:firstLine="567"/>
        <w:jc w:val="both"/>
        <w:rPr>
          <w:rFonts w:ascii="Century Gothic" w:hAnsi="Century Gothic"/>
        </w:rPr>
      </w:pPr>
    </w:p>
    <w:p w14:paraId="3421AE1A" w14:textId="3788D5FB" w:rsidR="00680351" w:rsidRPr="00680351" w:rsidRDefault="00680351" w:rsidP="00680351">
      <w:pPr>
        <w:spacing w:after="0" w:line="360" w:lineRule="auto"/>
        <w:ind w:right="284" w:firstLine="567"/>
        <w:jc w:val="both"/>
        <w:rPr>
          <w:rFonts w:ascii="Century Gothic" w:eastAsia="Times New Roman" w:hAnsi="Century Gothic" w:cs="Arial"/>
          <w:bCs/>
          <w:bdr w:val="none" w:sz="0" w:space="0" w:color="auto" w:frame="1"/>
        </w:rPr>
      </w:pPr>
      <w:r w:rsidRPr="00680351">
        <w:rPr>
          <w:rFonts w:ascii="Century Gothic" w:hAnsi="Century Gothic"/>
        </w:rPr>
        <w:t xml:space="preserve">Lo anterior con fundamento en lo aprobado por el Pleno de la Sala Superior, en el Acuerdo Plenario: </w:t>
      </w:r>
      <w:r w:rsidRPr="00680351">
        <w:rPr>
          <w:rFonts w:ascii="Century Gothic" w:hAnsi="Century Gothic"/>
          <w:b/>
          <w:bCs/>
        </w:rPr>
        <w:t>PSS/III/002/2022</w:t>
      </w:r>
      <w:r w:rsidRPr="00680351">
        <w:rPr>
          <w:rFonts w:ascii="Century Gothic" w:hAnsi="Century Gothic"/>
        </w:rPr>
        <w:t>, publicado en el Periódico Oficial del Estado en fecha veintiocho de enero de dos mil veintidós.</w:t>
      </w:r>
    </w:p>
    <w:p w14:paraId="0B20EA80" w14:textId="77777777" w:rsidR="00680351" w:rsidRPr="00680351" w:rsidRDefault="00680351" w:rsidP="00680351">
      <w:pPr>
        <w:spacing w:after="0" w:line="240" w:lineRule="auto"/>
        <w:ind w:right="284"/>
        <w:jc w:val="both"/>
        <w:rPr>
          <w:rFonts w:ascii="Century Gothic" w:hAnsi="Century Gothic" w:cs="Calibri"/>
          <w:bCs/>
          <w:color w:val="000000"/>
        </w:rPr>
      </w:pPr>
    </w:p>
    <w:p w14:paraId="08D0D5D1" w14:textId="77777777" w:rsidR="00680351" w:rsidRPr="00680351" w:rsidRDefault="00680351" w:rsidP="00680351">
      <w:pPr>
        <w:spacing w:after="0" w:line="360" w:lineRule="auto"/>
        <w:ind w:right="284" w:firstLine="567"/>
        <w:jc w:val="both"/>
        <w:rPr>
          <w:rFonts w:ascii="Century Gothic" w:hAnsi="Century Gothic" w:cs="Calibri"/>
          <w:color w:val="000000"/>
        </w:rPr>
      </w:pPr>
    </w:p>
    <w:p w14:paraId="4EA777EF" w14:textId="2224638A" w:rsidR="00680351" w:rsidRPr="00680351" w:rsidRDefault="00680351" w:rsidP="00680351">
      <w:pPr>
        <w:pStyle w:val="NormalWeb"/>
        <w:spacing w:before="0" w:beforeAutospacing="0" w:after="0" w:afterAutospacing="0" w:line="360" w:lineRule="auto"/>
        <w:jc w:val="both"/>
        <w:rPr>
          <w:rFonts w:ascii="Century Gothic" w:hAnsi="Century Gothic"/>
          <w:sz w:val="22"/>
          <w:szCs w:val="22"/>
        </w:rPr>
      </w:pPr>
      <w:r w:rsidRPr="00680351">
        <w:rPr>
          <w:rFonts w:ascii="Century Gothic" w:hAnsi="Century Gothic"/>
          <w:b/>
          <w:bCs/>
          <w:color w:val="000000"/>
          <w:sz w:val="22"/>
          <w:szCs w:val="22"/>
        </w:rPr>
        <w:t>Fecha de actualización:</w:t>
      </w:r>
      <w:r w:rsidRPr="00680351">
        <w:rPr>
          <w:rFonts w:ascii="Century Gothic" w:hAnsi="Century Gothic"/>
          <w:color w:val="000000"/>
          <w:sz w:val="22"/>
          <w:szCs w:val="22"/>
        </w:rPr>
        <w:t xml:space="preserve"> </w:t>
      </w:r>
      <w:r w:rsidR="0043581F">
        <w:rPr>
          <w:rFonts w:ascii="Century Gothic" w:hAnsi="Century Gothic"/>
          <w:color w:val="000000"/>
          <w:sz w:val="22"/>
          <w:szCs w:val="22"/>
        </w:rPr>
        <w:t>0</w:t>
      </w:r>
      <w:r w:rsidR="00EE0832">
        <w:rPr>
          <w:rFonts w:ascii="Century Gothic" w:hAnsi="Century Gothic"/>
          <w:color w:val="000000"/>
          <w:sz w:val="22"/>
          <w:szCs w:val="22"/>
        </w:rPr>
        <w:t>1</w:t>
      </w:r>
      <w:r w:rsidR="0043581F">
        <w:rPr>
          <w:rFonts w:ascii="Century Gothic" w:hAnsi="Century Gothic"/>
          <w:color w:val="000000"/>
          <w:sz w:val="22"/>
          <w:szCs w:val="22"/>
        </w:rPr>
        <w:t xml:space="preserve"> de </w:t>
      </w:r>
      <w:r w:rsidR="00EE0832">
        <w:rPr>
          <w:rFonts w:ascii="Century Gothic" w:hAnsi="Century Gothic"/>
          <w:color w:val="000000"/>
          <w:sz w:val="22"/>
          <w:szCs w:val="22"/>
        </w:rPr>
        <w:t xml:space="preserve">diciembre </w:t>
      </w:r>
      <w:r w:rsidRPr="00680351">
        <w:rPr>
          <w:rFonts w:ascii="Century Gothic" w:hAnsi="Century Gothic"/>
          <w:color w:val="000000"/>
          <w:sz w:val="22"/>
          <w:szCs w:val="22"/>
        </w:rPr>
        <w:t>de 202</w:t>
      </w:r>
      <w:r w:rsidR="00EE0832">
        <w:rPr>
          <w:rFonts w:ascii="Century Gothic" w:hAnsi="Century Gothic"/>
          <w:color w:val="000000"/>
          <w:sz w:val="22"/>
          <w:szCs w:val="22"/>
        </w:rPr>
        <w:t>2</w:t>
      </w:r>
    </w:p>
    <w:p w14:paraId="09B0F0D5" w14:textId="77777777" w:rsidR="00680351" w:rsidRPr="00680351" w:rsidRDefault="00680351" w:rsidP="00680351">
      <w:pPr>
        <w:pStyle w:val="NormalWeb"/>
        <w:spacing w:before="0" w:beforeAutospacing="0" w:after="0" w:afterAutospacing="0" w:line="360" w:lineRule="auto"/>
        <w:jc w:val="both"/>
        <w:rPr>
          <w:rFonts w:ascii="Century Gothic" w:hAnsi="Century Gothic"/>
          <w:sz w:val="22"/>
          <w:szCs w:val="22"/>
        </w:rPr>
      </w:pPr>
      <w:r w:rsidRPr="00680351">
        <w:rPr>
          <w:rFonts w:ascii="Century Gothic" w:hAnsi="Century Gothic"/>
          <w:b/>
          <w:bCs/>
          <w:color w:val="000000"/>
          <w:sz w:val="22"/>
          <w:szCs w:val="22"/>
        </w:rPr>
        <w:t>Elaborado por:</w:t>
      </w:r>
      <w:r w:rsidRPr="00680351">
        <w:rPr>
          <w:rFonts w:ascii="Century Gothic" w:hAnsi="Century Gothic"/>
          <w:color w:val="000000"/>
          <w:sz w:val="22"/>
          <w:szCs w:val="22"/>
        </w:rPr>
        <w:t xml:space="preserve"> Idelia Constanza Reyes Tamez</w:t>
      </w:r>
    </w:p>
    <w:p w14:paraId="6413C929" w14:textId="77777777" w:rsidR="00680351" w:rsidRPr="00680351" w:rsidRDefault="00680351" w:rsidP="00680351">
      <w:pPr>
        <w:pStyle w:val="NormalWeb"/>
        <w:spacing w:before="0" w:beforeAutospacing="0" w:after="0" w:afterAutospacing="0" w:line="360" w:lineRule="auto"/>
        <w:jc w:val="both"/>
        <w:rPr>
          <w:rFonts w:ascii="Century Gothic" w:hAnsi="Century Gothic"/>
          <w:sz w:val="22"/>
          <w:szCs w:val="22"/>
        </w:rPr>
      </w:pPr>
      <w:r w:rsidRPr="00680351">
        <w:rPr>
          <w:rFonts w:ascii="Century Gothic" w:hAnsi="Century Gothic"/>
          <w:b/>
          <w:bCs/>
          <w:color w:val="000000"/>
          <w:sz w:val="22"/>
          <w:szCs w:val="22"/>
        </w:rPr>
        <w:t>Unidad Administrativa:</w:t>
      </w:r>
      <w:r w:rsidRPr="00680351">
        <w:rPr>
          <w:rFonts w:ascii="Century Gothic" w:hAnsi="Century Gothic"/>
          <w:color w:val="000000"/>
          <w:sz w:val="22"/>
          <w:szCs w:val="22"/>
        </w:rPr>
        <w:t xml:space="preserve"> Secretaría General de Acuerdos</w:t>
      </w:r>
    </w:p>
    <w:p w14:paraId="6619030F" w14:textId="77777777" w:rsidR="00680351" w:rsidRPr="00680351" w:rsidRDefault="00680351" w:rsidP="00680351">
      <w:pPr>
        <w:pStyle w:val="NormalWeb"/>
        <w:spacing w:before="0" w:beforeAutospacing="0" w:after="0" w:afterAutospacing="0" w:line="360" w:lineRule="auto"/>
        <w:jc w:val="both"/>
        <w:rPr>
          <w:rFonts w:ascii="Century Gothic" w:hAnsi="Century Gothic"/>
          <w:sz w:val="22"/>
          <w:szCs w:val="22"/>
        </w:rPr>
      </w:pPr>
      <w:r w:rsidRPr="00680351">
        <w:rPr>
          <w:rFonts w:ascii="Century Gothic" w:hAnsi="Century Gothic"/>
          <w:b/>
          <w:bCs/>
          <w:color w:val="000000"/>
          <w:sz w:val="22"/>
          <w:szCs w:val="22"/>
        </w:rPr>
        <w:t>Autorizado por:</w:t>
      </w:r>
      <w:r w:rsidRPr="00680351">
        <w:rPr>
          <w:rFonts w:ascii="Century Gothic" w:hAnsi="Century Gothic"/>
          <w:color w:val="000000"/>
          <w:sz w:val="22"/>
          <w:szCs w:val="22"/>
        </w:rPr>
        <w:t xml:space="preserve"> Tamara Garza </w:t>
      </w:r>
      <w:proofErr w:type="spellStart"/>
      <w:r w:rsidRPr="00680351">
        <w:rPr>
          <w:rFonts w:ascii="Century Gothic" w:hAnsi="Century Gothic"/>
          <w:color w:val="000000"/>
          <w:sz w:val="22"/>
          <w:szCs w:val="22"/>
        </w:rPr>
        <w:t>Garza</w:t>
      </w:r>
      <w:proofErr w:type="spellEnd"/>
    </w:p>
    <w:p w14:paraId="68973621" w14:textId="77777777" w:rsidR="00680351" w:rsidRPr="00680351" w:rsidRDefault="00680351" w:rsidP="00680351">
      <w:pPr>
        <w:pStyle w:val="NormalWeb"/>
        <w:spacing w:before="0" w:beforeAutospacing="0" w:after="0" w:afterAutospacing="0" w:line="360" w:lineRule="auto"/>
        <w:jc w:val="both"/>
        <w:rPr>
          <w:sz w:val="22"/>
          <w:szCs w:val="22"/>
        </w:rPr>
      </w:pPr>
      <w:r w:rsidRPr="00680351">
        <w:rPr>
          <w:rFonts w:ascii="Century Gothic" w:hAnsi="Century Gothic"/>
          <w:b/>
          <w:bCs/>
          <w:color w:val="000000"/>
          <w:sz w:val="22"/>
          <w:szCs w:val="22"/>
        </w:rPr>
        <w:t>Cargo:</w:t>
      </w:r>
      <w:r w:rsidRPr="00680351">
        <w:rPr>
          <w:rFonts w:ascii="Century Gothic" w:hAnsi="Century Gothic"/>
          <w:color w:val="000000"/>
          <w:sz w:val="22"/>
          <w:szCs w:val="22"/>
        </w:rPr>
        <w:t xml:space="preserve"> </w:t>
      </w:r>
      <w:proofErr w:type="gramStart"/>
      <w:r w:rsidRPr="00680351">
        <w:rPr>
          <w:rFonts w:ascii="Century Gothic" w:hAnsi="Century Gothic"/>
          <w:color w:val="000000"/>
          <w:sz w:val="22"/>
          <w:szCs w:val="22"/>
        </w:rPr>
        <w:t>Secretaria Técnica</w:t>
      </w:r>
      <w:proofErr w:type="gramEnd"/>
    </w:p>
    <w:p w14:paraId="2AE49452" w14:textId="77777777" w:rsidR="00C921A6" w:rsidRPr="00680351" w:rsidRDefault="00C921A6"/>
    <w:sectPr w:rsidR="00C921A6" w:rsidRPr="00680351">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9B6B7" w14:textId="77777777" w:rsidR="003A5008" w:rsidRDefault="003A5008" w:rsidP="003A5008">
      <w:pPr>
        <w:spacing w:after="0" w:line="240" w:lineRule="auto"/>
      </w:pPr>
      <w:r>
        <w:separator/>
      </w:r>
    </w:p>
  </w:endnote>
  <w:endnote w:type="continuationSeparator" w:id="0">
    <w:p w14:paraId="7943AC1C" w14:textId="77777777" w:rsidR="003A5008" w:rsidRDefault="003A5008" w:rsidP="003A5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2FB10" w14:textId="77777777" w:rsidR="003A5008" w:rsidRDefault="003A5008" w:rsidP="003A5008">
      <w:pPr>
        <w:spacing w:after="0" w:line="240" w:lineRule="auto"/>
      </w:pPr>
      <w:r>
        <w:separator/>
      </w:r>
    </w:p>
  </w:footnote>
  <w:footnote w:type="continuationSeparator" w:id="0">
    <w:p w14:paraId="02948E53" w14:textId="77777777" w:rsidR="003A5008" w:rsidRDefault="003A5008" w:rsidP="003A5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6690" w14:textId="4E5E4096" w:rsidR="003A5008" w:rsidRDefault="003A5008">
    <w:pPr>
      <w:pStyle w:val="Encabezado"/>
    </w:pPr>
    <w:r>
      <w:rPr>
        <w:noProof/>
      </w:rPr>
      <w:drawing>
        <wp:anchor distT="0" distB="0" distL="114300" distR="114300" simplePos="0" relativeHeight="251659264" behindDoc="1" locked="0" layoutInCell="1" allowOverlap="1" wp14:anchorId="3AA701BD" wp14:editId="10E0A2A5">
          <wp:simplePos x="0" y="0"/>
          <wp:positionH relativeFrom="margin">
            <wp:align>center</wp:align>
          </wp:positionH>
          <wp:positionV relativeFrom="paragraph">
            <wp:posOffset>-319405</wp:posOffset>
          </wp:positionV>
          <wp:extent cx="1682750" cy="1152525"/>
          <wp:effectExtent l="0" t="0" r="0" b="0"/>
          <wp:wrapNone/>
          <wp:docPr id="50" name="Imagen 50"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n 50" descr="Forma&#10;&#10;Descripción generada automáticamente con confianza media"/>
                  <pic:cNvPicPr/>
                </pic:nvPicPr>
                <pic:blipFill rotWithShape="1">
                  <a:blip r:embed="rId1">
                    <a:extLst>
                      <a:ext uri="{28A0092B-C50C-407E-A947-70E740481C1C}">
                        <a14:useLocalDpi xmlns:a14="http://schemas.microsoft.com/office/drawing/2010/main" val="0"/>
                      </a:ext>
                    </a:extLst>
                  </a:blip>
                  <a:srcRect l="8866" t="13130" r="9920" b="8088"/>
                  <a:stretch/>
                </pic:blipFill>
                <pic:spPr bwMode="auto">
                  <a:xfrm>
                    <a:off x="0" y="0"/>
                    <a:ext cx="1682750" cy="1152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C77AC0" w14:textId="1CF3D363" w:rsidR="003A5008" w:rsidRDefault="003A5008">
    <w:pPr>
      <w:pStyle w:val="Encabezado"/>
    </w:pPr>
  </w:p>
  <w:p w14:paraId="5FB438BB" w14:textId="77777777" w:rsidR="003A5008" w:rsidRDefault="003A5008">
    <w:pPr>
      <w:pStyle w:val="Encabezado"/>
    </w:pPr>
  </w:p>
  <w:p w14:paraId="05B3048F" w14:textId="433DBB7B" w:rsidR="003A5008" w:rsidRDefault="003A5008">
    <w:pPr>
      <w:pStyle w:val="Encabezado"/>
    </w:pPr>
  </w:p>
  <w:p w14:paraId="28DC91E6" w14:textId="14CC59DA" w:rsidR="003A5008" w:rsidRDefault="003A5008">
    <w:pPr>
      <w:pStyle w:val="Encabezado"/>
    </w:pPr>
  </w:p>
  <w:p w14:paraId="18ED10A3" w14:textId="1D8EB269" w:rsidR="003A5008" w:rsidRDefault="00E73354" w:rsidP="003A5008">
    <w:pPr>
      <w:pStyle w:val="Encabezado"/>
      <w:jc w:val="center"/>
      <w:rPr>
        <w:rFonts w:ascii="Century Gothic" w:hAnsi="Century Gothic"/>
        <w:b/>
        <w:bCs/>
      </w:rPr>
    </w:pPr>
    <w:r>
      <w:rPr>
        <w:rFonts w:ascii="Century Gothic" w:hAnsi="Century Gothic"/>
        <w:b/>
        <w:bCs/>
        <w:sz w:val="20"/>
        <w:szCs w:val="20"/>
      </w:rPr>
      <w:t>“2022, Año de Benito Juárez, Defensor de la Soberanía de Coahuila de Zaragoza”</w:t>
    </w:r>
  </w:p>
  <w:p w14:paraId="7E9FC5BA" w14:textId="77777777" w:rsidR="003A5008" w:rsidRDefault="003A5008">
    <w:pPr>
      <w:pStyle w:val="Encabezado"/>
    </w:pPr>
  </w:p>
  <w:p w14:paraId="2A24E02C" w14:textId="529F8FD8" w:rsidR="003A5008" w:rsidRDefault="003A50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E2B5B"/>
    <w:multiLevelType w:val="hybridMultilevel"/>
    <w:tmpl w:val="2E6C69BE"/>
    <w:lvl w:ilvl="0" w:tplc="60B8E7FC">
      <w:start w:val="25"/>
      <w:numFmt w:val="bullet"/>
      <w:lvlText w:val="-"/>
      <w:lvlJc w:val="left"/>
      <w:pPr>
        <w:ind w:left="572" w:hanging="360"/>
      </w:pPr>
      <w:rPr>
        <w:rFonts w:ascii="Century Gothic" w:eastAsia="Times New Roman" w:hAnsi="Century Gothic" w:cs="Calibri" w:hint="default"/>
      </w:rPr>
    </w:lvl>
    <w:lvl w:ilvl="1" w:tplc="080A0003">
      <w:start w:val="1"/>
      <w:numFmt w:val="bullet"/>
      <w:lvlText w:val="o"/>
      <w:lvlJc w:val="left"/>
      <w:pPr>
        <w:ind w:left="1292" w:hanging="360"/>
      </w:pPr>
      <w:rPr>
        <w:rFonts w:ascii="Courier New" w:hAnsi="Courier New" w:cs="Courier New" w:hint="default"/>
      </w:rPr>
    </w:lvl>
    <w:lvl w:ilvl="2" w:tplc="080A0005">
      <w:start w:val="1"/>
      <w:numFmt w:val="bullet"/>
      <w:lvlText w:val=""/>
      <w:lvlJc w:val="left"/>
      <w:pPr>
        <w:ind w:left="2012" w:hanging="360"/>
      </w:pPr>
      <w:rPr>
        <w:rFonts w:ascii="Wingdings" w:hAnsi="Wingdings" w:hint="default"/>
      </w:rPr>
    </w:lvl>
    <w:lvl w:ilvl="3" w:tplc="080A0001">
      <w:start w:val="1"/>
      <w:numFmt w:val="bullet"/>
      <w:lvlText w:val=""/>
      <w:lvlJc w:val="left"/>
      <w:pPr>
        <w:ind w:left="2732" w:hanging="360"/>
      </w:pPr>
      <w:rPr>
        <w:rFonts w:ascii="Symbol" w:hAnsi="Symbol" w:hint="default"/>
      </w:rPr>
    </w:lvl>
    <w:lvl w:ilvl="4" w:tplc="080A0003">
      <w:start w:val="1"/>
      <w:numFmt w:val="bullet"/>
      <w:lvlText w:val="o"/>
      <w:lvlJc w:val="left"/>
      <w:pPr>
        <w:ind w:left="3452" w:hanging="360"/>
      </w:pPr>
      <w:rPr>
        <w:rFonts w:ascii="Courier New" w:hAnsi="Courier New" w:cs="Courier New" w:hint="default"/>
      </w:rPr>
    </w:lvl>
    <w:lvl w:ilvl="5" w:tplc="080A0005">
      <w:start w:val="1"/>
      <w:numFmt w:val="bullet"/>
      <w:lvlText w:val=""/>
      <w:lvlJc w:val="left"/>
      <w:pPr>
        <w:ind w:left="4172" w:hanging="360"/>
      </w:pPr>
      <w:rPr>
        <w:rFonts w:ascii="Wingdings" w:hAnsi="Wingdings" w:hint="default"/>
      </w:rPr>
    </w:lvl>
    <w:lvl w:ilvl="6" w:tplc="080A0001">
      <w:start w:val="1"/>
      <w:numFmt w:val="bullet"/>
      <w:lvlText w:val=""/>
      <w:lvlJc w:val="left"/>
      <w:pPr>
        <w:ind w:left="4892" w:hanging="360"/>
      </w:pPr>
      <w:rPr>
        <w:rFonts w:ascii="Symbol" w:hAnsi="Symbol" w:hint="default"/>
      </w:rPr>
    </w:lvl>
    <w:lvl w:ilvl="7" w:tplc="080A0003">
      <w:start w:val="1"/>
      <w:numFmt w:val="bullet"/>
      <w:lvlText w:val="o"/>
      <w:lvlJc w:val="left"/>
      <w:pPr>
        <w:ind w:left="5612" w:hanging="360"/>
      </w:pPr>
      <w:rPr>
        <w:rFonts w:ascii="Courier New" w:hAnsi="Courier New" w:cs="Courier New" w:hint="default"/>
      </w:rPr>
    </w:lvl>
    <w:lvl w:ilvl="8" w:tplc="080A0005">
      <w:start w:val="1"/>
      <w:numFmt w:val="bullet"/>
      <w:lvlText w:val=""/>
      <w:lvlJc w:val="left"/>
      <w:pPr>
        <w:ind w:left="6332" w:hanging="360"/>
      </w:pPr>
      <w:rPr>
        <w:rFonts w:ascii="Wingdings" w:hAnsi="Wingdings" w:hint="default"/>
      </w:rPr>
    </w:lvl>
  </w:abstractNum>
  <w:num w:numId="1" w16cid:durableId="1336764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351"/>
    <w:rsid w:val="00054DB3"/>
    <w:rsid w:val="001032D3"/>
    <w:rsid w:val="00271988"/>
    <w:rsid w:val="00376917"/>
    <w:rsid w:val="003A5008"/>
    <w:rsid w:val="0043581F"/>
    <w:rsid w:val="006547BC"/>
    <w:rsid w:val="00680351"/>
    <w:rsid w:val="00902395"/>
    <w:rsid w:val="00B4598A"/>
    <w:rsid w:val="00B47581"/>
    <w:rsid w:val="00C921A6"/>
    <w:rsid w:val="00E73354"/>
    <w:rsid w:val="00ED45D3"/>
    <w:rsid w:val="00EE0832"/>
    <w:rsid w:val="00F062C5"/>
    <w:rsid w:val="00FC57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D61D2"/>
  <w15:chartTrackingRefBased/>
  <w15:docId w15:val="{0FC464F9-BA4B-4B96-9FCF-DA8F809C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351"/>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8035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680351"/>
    <w:pPr>
      <w:ind w:left="720"/>
      <w:contextualSpacing/>
    </w:pPr>
  </w:style>
  <w:style w:type="paragraph" w:styleId="Encabezado">
    <w:name w:val="header"/>
    <w:basedOn w:val="Normal"/>
    <w:link w:val="EncabezadoCar"/>
    <w:uiPriority w:val="99"/>
    <w:unhideWhenUsed/>
    <w:rsid w:val="003A50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5008"/>
  </w:style>
  <w:style w:type="paragraph" w:styleId="Piedepgina">
    <w:name w:val="footer"/>
    <w:basedOn w:val="Normal"/>
    <w:link w:val="PiedepginaCar"/>
    <w:uiPriority w:val="99"/>
    <w:unhideWhenUsed/>
    <w:rsid w:val="003A50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5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43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296</Words>
  <Characters>1631</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Hector Cardenas Lozano</dc:creator>
  <cp:keywords/>
  <dc:description/>
  <cp:lastModifiedBy>Marysol Rivera Aguirre</cp:lastModifiedBy>
  <cp:revision>18</cp:revision>
  <cp:lastPrinted>2023-01-09T17:45:00Z</cp:lastPrinted>
  <dcterms:created xsi:type="dcterms:W3CDTF">2022-01-31T19:42:00Z</dcterms:created>
  <dcterms:modified xsi:type="dcterms:W3CDTF">2023-01-09T17:46:00Z</dcterms:modified>
</cp:coreProperties>
</file>