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E7DF" w14:textId="77777777" w:rsidR="00274605" w:rsidRPr="004511F1" w:rsidRDefault="009A71E1" w:rsidP="00274605">
      <w:pPr>
        <w:spacing w:after="0" w:line="24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21980F8F" w14:textId="77777777" w:rsidR="009A71E1" w:rsidRPr="004511F1" w:rsidRDefault="009A71E1" w:rsidP="00274605">
      <w:pPr>
        <w:spacing w:after="0" w:line="24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6199A79B" w14:textId="77777777" w:rsidR="00274605" w:rsidRPr="004511F1" w:rsidRDefault="00274605" w:rsidP="00274605">
      <w:pPr>
        <w:spacing w:after="0" w:line="240" w:lineRule="auto"/>
        <w:jc w:val="center"/>
        <w:rPr>
          <w:rFonts w:ascii="Century Gothic" w:hAnsi="Century Gothic"/>
        </w:rPr>
      </w:pPr>
    </w:p>
    <w:p w14:paraId="5EBFCA29" w14:textId="77777777" w:rsidR="009A71E1" w:rsidRDefault="004511F1" w:rsidP="009A71E1">
      <w:pPr>
        <w:spacing w:after="0" w:line="24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 w:rsidR="00CD26FE">
        <w:rPr>
          <w:rFonts w:ascii="Century Gothic" w:hAnsi="Century Gothic"/>
          <w:b/>
        </w:rPr>
        <w:t xml:space="preserve"> </w:t>
      </w:r>
      <w:r w:rsidR="00EA1638">
        <w:rPr>
          <w:rFonts w:ascii="Century Gothic" w:hAnsi="Century Gothic"/>
          <w:b/>
        </w:rPr>
        <w:t>IX</w:t>
      </w:r>
      <w:r w:rsidRPr="004511F1">
        <w:rPr>
          <w:rFonts w:ascii="Century Gothic" w:hAnsi="Century Gothic"/>
          <w:b/>
        </w:rPr>
        <w:t>.-</w:t>
      </w:r>
      <w:r w:rsidR="009A71E1" w:rsidRPr="004511F1">
        <w:rPr>
          <w:rFonts w:ascii="Century Gothic" w:hAnsi="Century Gothic"/>
        </w:rPr>
        <w:t xml:space="preserve"> </w:t>
      </w:r>
      <w:r w:rsidR="00E54926" w:rsidRPr="00E54926">
        <w:rPr>
          <w:rFonts w:ascii="Century Gothic" w:hAnsi="Century Gothic"/>
        </w:rPr>
        <w:t>Calendario de días inhábiles;</w:t>
      </w:r>
      <w:r w:rsidR="00CD26FE">
        <w:rPr>
          <w:rFonts w:ascii="Century Gothic" w:hAnsi="Century Gothic"/>
        </w:rPr>
        <w:t xml:space="preserve"> </w:t>
      </w:r>
    </w:p>
    <w:p w14:paraId="7EBB7376" w14:textId="77777777" w:rsidR="007D1B8D" w:rsidRDefault="007D1B8D" w:rsidP="007D1B8D">
      <w:pPr>
        <w:spacing w:after="0" w:line="240" w:lineRule="auto"/>
        <w:jc w:val="center"/>
        <w:rPr>
          <w:rFonts w:ascii="Century Gothic" w:hAnsi="Century Gothic"/>
        </w:rPr>
      </w:pPr>
    </w:p>
    <w:p w14:paraId="78497DA2" w14:textId="77777777" w:rsidR="007370A6" w:rsidRPr="000D17B9" w:rsidRDefault="007370A6" w:rsidP="007370A6">
      <w:pPr>
        <w:spacing w:after="0" w:line="240" w:lineRule="auto"/>
        <w:jc w:val="center"/>
        <w:rPr>
          <w:rFonts w:ascii="Century Gothic" w:hAnsi="Century Gothic"/>
          <w:b/>
          <w:sz w:val="26"/>
          <w:szCs w:val="26"/>
          <w:u w:val="single"/>
        </w:rPr>
      </w:pPr>
      <w:r w:rsidRPr="000D17B9">
        <w:rPr>
          <w:rFonts w:ascii="Century Gothic" w:hAnsi="Century Gothic"/>
          <w:b/>
          <w:sz w:val="26"/>
          <w:szCs w:val="26"/>
          <w:u w:val="single"/>
        </w:rPr>
        <w:t>Calendario de Labores 2018</w:t>
      </w:r>
    </w:p>
    <w:p w14:paraId="3665B526" w14:textId="77777777" w:rsidR="007370A6" w:rsidRDefault="007370A6" w:rsidP="007D1B8D">
      <w:pPr>
        <w:spacing w:after="0" w:line="240" w:lineRule="auto"/>
        <w:jc w:val="center"/>
        <w:rPr>
          <w:rFonts w:ascii="Century Gothic" w:hAnsi="Century Gothic"/>
        </w:rPr>
      </w:pPr>
    </w:p>
    <w:p w14:paraId="76E35209" w14:textId="77777777" w:rsidR="009A32BC" w:rsidRPr="0084559D" w:rsidRDefault="009A32BC" w:rsidP="009A32BC">
      <w:pPr>
        <w:spacing w:line="360" w:lineRule="auto"/>
        <w:ind w:firstLine="567"/>
        <w:jc w:val="both"/>
        <w:rPr>
          <w:rFonts w:ascii="Century Gothic" w:eastAsia="Times New Roman" w:hAnsi="Century Gothic" w:cs="Arial"/>
          <w:b/>
          <w:bdr w:val="none" w:sz="0" w:space="0" w:color="auto" w:frame="1"/>
        </w:rPr>
      </w:pPr>
      <w:r w:rsidRPr="0084559D">
        <w:rPr>
          <w:rFonts w:ascii="Century Gothic" w:eastAsia="Times New Roman" w:hAnsi="Century Gothic" w:cs="Arial"/>
          <w:b/>
          <w:bdr w:val="none" w:sz="0" w:space="0" w:color="auto" w:frame="1"/>
        </w:rPr>
        <w:t>I.- Son días inhábiles y no habrá actuaciones judiciales los siguientes:</w:t>
      </w:r>
    </w:p>
    <w:p w14:paraId="09CF1E4E" w14:textId="77777777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eastAsia="Times New Roman" w:hAnsi="Century Gothic" w:cs="Calibri"/>
          <w:lang w:eastAsia="es-MX"/>
        </w:rPr>
      </w:pPr>
      <w:r w:rsidRPr="00544162">
        <w:rPr>
          <w:rFonts w:ascii="Century Gothic" w:eastAsia="Times New Roman" w:hAnsi="Century Gothic" w:cs="Calibri"/>
          <w:szCs w:val="23"/>
          <w:lang w:eastAsia="es-MX"/>
        </w:rPr>
        <w:t xml:space="preserve">5 </w:t>
      </w:r>
      <w:r w:rsidRPr="00544162">
        <w:rPr>
          <w:rFonts w:ascii="Century Gothic" w:eastAsia="Times New Roman" w:hAnsi="Century Gothic" w:cs="Calibri"/>
          <w:lang w:eastAsia="es-MX"/>
        </w:rPr>
        <w:t>de febrero</w:t>
      </w:r>
    </w:p>
    <w:p w14:paraId="69CA53B3" w14:textId="77777777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eastAsia="Times New Roman" w:hAnsi="Century Gothic" w:cs="Calibri"/>
          <w:lang w:eastAsia="es-MX"/>
        </w:rPr>
      </w:pPr>
      <w:r w:rsidRPr="00544162">
        <w:rPr>
          <w:rFonts w:ascii="Century Gothic" w:eastAsia="Times New Roman" w:hAnsi="Century Gothic" w:cs="Calibri"/>
          <w:lang w:eastAsia="es-MX"/>
        </w:rPr>
        <w:t>19 de marzo</w:t>
      </w:r>
    </w:p>
    <w:p w14:paraId="11F9F12B" w14:textId="77777777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eastAsia="Times New Roman" w:hAnsi="Century Gothic" w:cs="Calibri"/>
          <w:lang w:eastAsia="es-MX"/>
        </w:rPr>
      </w:pPr>
      <w:r w:rsidRPr="00544162">
        <w:rPr>
          <w:rFonts w:ascii="Century Gothic" w:eastAsia="Times New Roman" w:hAnsi="Century Gothic" w:cs="Calibri"/>
          <w:lang w:eastAsia="es-MX"/>
        </w:rPr>
        <w:t>21 de marzo</w:t>
      </w:r>
    </w:p>
    <w:p w14:paraId="3CA5AAC1" w14:textId="77777777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eastAsia="Times New Roman" w:hAnsi="Century Gothic" w:cs="Calibri"/>
          <w:lang w:eastAsia="es-MX"/>
        </w:rPr>
      </w:pPr>
      <w:r w:rsidRPr="00544162">
        <w:rPr>
          <w:rFonts w:ascii="Century Gothic" w:eastAsia="Times New Roman" w:hAnsi="Century Gothic" w:cs="Calibri"/>
          <w:lang w:eastAsia="es-MX"/>
        </w:rPr>
        <w:t>Del 26 al 30 de marzo</w:t>
      </w:r>
    </w:p>
    <w:p w14:paraId="3A94876E" w14:textId="77777777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eastAsia="Times New Roman" w:hAnsi="Century Gothic" w:cs="Calibri"/>
          <w:lang w:eastAsia="es-MX"/>
        </w:rPr>
      </w:pPr>
      <w:r w:rsidRPr="00544162">
        <w:rPr>
          <w:rFonts w:ascii="Century Gothic" w:eastAsia="Times New Roman" w:hAnsi="Century Gothic" w:cs="Calibri"/>
          <w:lang w:eastAsia="es-MX"/>
        </w:rPr>
        <w:t>1 de mayo</w:t>
      </w:r>
    </w:p>
    <w:p w14:paraId="6F1C4E37" w14:textId="77777777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eastAsia="Times New Roman" w:hAnsi="Century Gothic" w:cs="Calibri"/>
          <w:lang w:eastAsia="es-MX"/>
        </w:rPr>
      </w:pPr>
      <w:r w:rsidRPr="00544162">
        <w:rPr>
          <w:rFonts w:ascii="Century Gothic" w:eastAsia="Times New Roman" w:hAnsi="Century Gothic" w:cs="Calibri"/>
          <w:lang w:eastAsia="es-MX"/>
        </w:rPr>
        <w:t>12 de octubre</w:t>
      </w:r>
    </w:p>
    <w:p w14:paraId="2BF18A38" w14:textId="77777777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eastAsia="Times New Roman" w:hAnsi="Century Gothic" w:cs="Calibri"/>
          <w:lang w:eastAsia="es-MX"/>
        </w:rPr>
      </w:pPr>
      <w:r w:rsidRPr="00544162">
        <w:rPr>
          <w:rFonts w:ascii="Century Gothic" w:eastAsia="Times New Roman" w:hAnsi="Century Gothic" w:cs="Calibri"/>
          <w:lang w:eastAsia="es-MX"/>
        </w:rPr>
        <w:t>19 de noviembre</w:t>
      </w:r>
    </w:p>
    <w:p w14:paraId="6C505218" w14:textId="77777777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eastAsia="Times New Roman" w:hAnsi="Century Gothic" w:cs="Calibri"/>
          <w:lang w:eastAsia="es-MX"/>
        </w:rPr>
      </w:pPr>
      <w:r w:rsidRPr="00544162">
        <w:rPr>
          <w:rFonts w:ascii="Century Gothic" w:eastAsia="Times New Roman" w:hAnsi="Century Gothic" w:cs="Calibri"/>
          <w:lang w:eastAsia="es-MX"/>
        </w:rPr>
        <w:t>20 de noviembre</w:t>
      </w:r>
    </w:p>
    <w:p w14:paraId="606A550F" w14:textId="77777777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eastAsia="Times New Roman" w:hAnsi="Century Gothic" w:cs="Calibri"/>
          <w:lang w:eastAsia="es-MX"/>
        </w:rPr>
      </w:pPr>
      <w:r w:rsidRPr="00544162">
        <w:rPr>
          <w:rFonts w:ascii="Century Gothic" w:eastAsia="Times New Roman" w:hAnsi="Century Gothic" w:cs="Calibri"/>
          <w:lang w:eastAsia="es-MX"/>
        </w:rPr>
        <w:t>1 de diciembre</w:t>
      </w:r>
    </w:p>
    <w:p w14:paraId="6A4E017B" w14:textId="354000D8" w:rsidR="004D0327" w:rsidRPr="00544162" w:rsidRDefault="004D0327" w:rsidP="004D0327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ind w:left="567" w:hanging="357"/>
        <w:rPr>
          <w:rFonts w:ascii="Century Gothic" w:hAnsi="Century Gothic" w:cs="Calibri"/>
        </w:rPr>
      </w:pPr>
      <w:r w:rsidRPr="00544162">
        <w:rPr>
          <w:rFonts w:ascii="Century Gothic" w:eastAsia="Times New Roman" w:hAnsi="Century Gothic" w:cs="Calibri"/>
          <w:lang w:eastAsia="es-MX"/>
        </w:rPr>
        <w:t xml:space="preserve">25 de </w:t>
      </w:r>
      <w:r w:rsidRPr="00544162">
        <w:rPr>
          <w:rFonts w:ascii="Century Gothic" w:hAnsi="Century Gothic" w:cs="Calibri"/>
        </w:rPr>
        <w:t>diciembre</w:t>
      </w:r>
      <w:r w:rsidRPr="00544162">
        <w:rPr>
          <w:rFonts w:ascii="Century Gothic" w:eastAsia="Times New Roman" w:hAnsi="Century Gothic" w:cs="Calibri"/>
          <w:lang w:eastAsia="es-MX"/>
        </w:rPr>
        <w:tab/>
      </w:r>
    </w:p>
    <w:p w14:paraId="0ACBE8AB" w14:textId="77777777" w:rsidR="00980940" w:rsidRPr="00544162" w:rsidRDefault="00980940" w:rsidP="00980940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jc w:val="both"/>
        <w:rPr>
          <w:rFonts w:ascii="Century Gothic" w:hAnsi="Century Gothic" w:cs="Calibri"/>
        </w:rPr>
      </w:pPr>
      <w:r w:rsidRPr="00544162">
        <w:rPr>
          <w:rFonts w:ascii="Century Gothic" w:hAnsi="Century Gothic" w:cs="Calibri"/>
          <w:lang w:val="es-ES_tradnl"/>
        </w:rPr>
        <w:t>Del 20 de diciembre del presente año al 04 de enero de 2019.</w:t>
      </w:r>
    </w:p>
    <w:p w14:paraId="6874687A" w14:textId="1FEB2AEA" w:rsidR="007937B4" w:rsidRPr="00544162" w:rsidRDefault="00980940" w:rsidP="00544162">
      <w:pPr>
        <w:pStyle w:val="Prrafodelista"/>
        <w:numPr>
          <w:ilvl w:val="0"/>
          <w:numId w:val="24"/>
        </w:numPr>
        <w:tabs>
          <w:tab w:val="left" w:pos="837"/>
          <w:tab w:val="left" w:pos="2502"/>
        </w:tabs>
        <w:spacing w:after="0" w:line="360" w:lineRule="auto"/>
        <w:rPr>
          <w:rFonts w:ascii="Century Gothic" w:eastAsia="Times New Roman" w:hAnsi="Century Gothic" w:cs="Calibri"/>
          <w:sz w:val="23"/>
          <w:szCs w:val="23"/>
          <w:lang w:eastAsia="es-MX"/>
        </w:rPr>
      </w:pPr>
      <w:r w:rsidRPr="00544162">
        <w:rPr>
          <w:rFonts w:ascii="Century Gothic" w:hAnsi="Century Gothic"/>
        </w:rPr>
        <w:t>Los demás que el Pleno de la Sala Superior determine como inhábiles</w:t>
      </w:r>
      <w:r>
        <w:rPr>
          <w:rFonts w:ascii="Century Gothic" w:hAnsi="Century Gothic"/>
          <w:sz w:val="23"/>
          <w:szCs w:val="23"/>
        </w:rPr>
        <w:t>.</w:t>
      </w:r>
    </w:p>
    <w:p w14:paraId="1F89D085" w14:textId="77777777" w:rsidR="00242D00" w:rsidRDefault="00242D00" w:rsidP="009A32BC">
      <w:pPr>
        <w:spacing w:line="360" w:lineRule="auto"/>
        <w:ind w:firstLine="708"/>
        <w:jc w:val="both"/>
        <w:rPr>
          <w:rFonts w:ascii="Century Gothic" w:eastAsia="Times New Roman" w:hAnsi="Century Gothic" w:cs="Arial"/>
          <w:b/>
          <w:bdr w:val="none" w:sz="0" w:space="0" w:color="auto" w:frame="1"/>
        </w:rPr>
      </w:pPr>
    </w:p>
    <w:p w14:paraId="54D90283" w14:textId="31DDA82F" w:rsidR="009A32BC" w:rsidRPr="0084559D" w:rsidRDefault="009A32BC" w:rsidP="009A32BC">
      <w:pPr>
        <w:spacing w:line="360" w:lineRule="auto"/>
        <w:ind w:firstLine="708"/>
        <w:jc w:val="both"/>
        <w:rPr>
          <w:rFonts w:ascii="Century Gothic" w:eastAsia="Times New Roman" w:hAnsi="Century Gothic" w:cs="Arial"/>
          <w:b/>
          <w:bdr w:val="none" w:sz="0" w:space="0" w:color="auto" w:frame="1"/>
        </w:rPr>
      </w:pPr>
      <w:r w:rsidRPr="0084559D">
        <w:rPr>
          <w:rFonts w:ascii="Century Gothic" w:eastAsia="Times New Roman" w:hAnsi="Century Gothic" w:cs="Arial"/>
          <w:b/>
          <w:bdr w:val="none" w:sz="0" w:space="0" w:color="auto" w:frame="1"/>
        </w:rPr>
        <w:t>II.- Período Vacacional</w:t>
      </w:r>
    </w:p>
    <w:p w14:paraId="24422E8A" w14:textId="20032DF5" w:rsidR="009A32BC" w:rsidRPr="003F08DE" w:rsidRDefault="009A32BC" w:rsidP="009A32BC">
      <w:pPr>
        <w:spacing w:line="360" w:lineRule="auto"/>
        <w:ind w:firstLine="708"/>
        <w:jc w:val="both"/>
        <w:rPr>
          <w:rFonts w:ascii="Century Gothic" w:eastAsia="Times New Roman" w:hAnsi="Century Gothic" w:cs="Arial"/>
          <w:bdr w:val="none" w:sz="0" w:space="0" w:color="auto" w:frame="1"/>
        </w:rPr>
      </w:pPr>
      <w:r w:rsidRPr="003F08DE">
        <w:rPr>
          <w:rFonts w:ascii="Century Gothic" w:eastAsia="Times New Roman" w:hAnsi="Century Gothic" w:cs="Arial"/>
          <w:bdr w:val="none" w:sz="0" w:space="0" w:color="auto" w:frame="1"/>
        </w:rPr>
        <w:t xml:space="preserve">El </w:t>
      </w:r>
      <w:r w:rsidR="00980940" w:rsidRPr="003F08DE">
        <w:rPr>
          <w:rFonts w:ascii="Century Gothic" w:eastAsia="Times New Roman" w:hAnsi="Century Gothic" w:cs="Arial"/>
          <w:bdr w:val="none" w:sz="0" w:space="0" w:color="auto" w:frame="1"/>
        </w:rPr>
        <w:t xml:space="preserve">Primer </w:t>
      </w:r>
      <w:r w:rsidRPr="003F08DE">
        <w:rPr>
          <w:rFonts w:ascii="Century Gothic" w:eastAsia="Times New Roman" w:hAnsi="Century Gothic" w:cs="Arial"/>
          <w:bdr w:val="none" w:sz="0" w:space="0" w:color="auto" w:frame="1"/>
        </w:rPr>
        <w:t xml:space="preserve">período </w:t>
      </w:r>
      <w:r w:rsidR="00980940" w:rsidRPr="003F08DE">
        <w:rPr>
          <w:rFonts w:ascii="Century Gothic" w:eastAsia="Times New Roman" w:hAnsi="Century Gothic" w:cs="Arial"/>
          <w:bdr w:val="none" w:sz="0" w:space="0" w:color="auto" w:frame="1"/>
        </w:rPr>
        <w:t>vacacional</w:t>
      </w:r>
      <w:r w:rsidRPr="003F08DE">
        <w:rPr>
          <w:rFonts w:ascii="Century Gothic" w:eastAsia="Times New Roman" w:hAnsi="Century Gothic" w:cs="Arial"/>
          <w:bdr w:val="none" w:sz="0" w:space="0" w:color="auto" w:frame="1"/>
        </w:rPr>
        <w:t xml:space="preserve"> iniciará el veintitrés de julio de dos mil dieciocho y concluirá el tres de agosto de dos mil dieciocho, lapso en que los días serán </w:t>
      </w:r>
      <w:bookmarkStart w:id="0" w:name="_GoBack"/>
      <w:r w:rsidRPr="003F08DE">
        <w:rPr>
          <w:rFonts w:ascii="Century Gothic" w:eastAsia="Times New Roman" w:hAnsi="Century Gothic" w:cs="Arial"/>
          <w:bdr w:val="none" w:sz="0" w:space="0" w:color="auto" w:frame="1"/>
        </w:rPr>
        <w:t xml:space="preserve">inhábiles; reanudándose labores el seis de agosto del año </w:t>
      </w:r>
      <w:r w:rsidR="00980940" w:rsidRPr="003F08DE">
        <w:rPr>
          <w:rFonts w:ascii="Century Gothic" w:eastAsia="Times New Roman" w:hAnsi="Century Gothic" w:cs="Arial"/>
          <w:bdr w:val="none" w:sz="0" w:space="0" w:color="auto" w:frame="1"/>
        </w:rPr>
        <w:t>dos mil dieciocho</w:t>
      </w:r>
      <w:r w:rsidRPr="003F08DE">
        <w:rPr>
          <w:rFonts w:ascii="Century Gothic" w:eastAsia="Times New Roman" w:hAnsi="Century Gothic" w:cs="Arial"/>
          <w:bdr w:val="none" w:sz="0" w:space="0" w:color="auto" w:frame="1"/>
        </w:rPr>
        <w:t>.</w:t>
      </w:r>
    </w:p>
    <w:bookmarkEnd w:id="0"/>
    <w:p w14:paraId="1A001A89" w14:textId="31F65955" w:rsidR="009A32BC" w:rsidRPr="003F08DE" w:rsidRDefault="009A32BC" w:rsidP="00544162">
      <w:pPr>
        <w:spacing w:line="360" w:lineRule="auto"/>
        <w:ind w:firstLine="708"/>
        <w:jc w:val="both"/>
        <w:rPr>
          <w:rFonts w:ascii="Century Gothic" w:eastAsia="Times New Roman" w:hAnsi="Century Gothic" w:cs="Arial"/>
          <w:bdr w:val="none" w:sz="0" w:space="0" w:color="auto" w:frame="1"/>
        </w:rPr>
      </w:pPr>
      <w:r w:rsidRPr="003F08DE">
        <w:rPr>
          <w:rFonts w:ascii="Century Gothic" w:eastAsia="Times New Roman" w:hAnsi="Century Gothic" w:cs="Arial"/>
          <w:bdr w:val="none" w:sz="0" w:space="0" w:color="auto" w:frame="1"/>
        </w:rPr>
        <w:t xml:space="preserve">El </w:t>
      </w:r>
      <w:r w:rsidR="00980940" w:rsidRPr="003F08DE">
        <w:rPr>
          <w:rFonts w:ascii="Century Gothic" w:eastAsia="Times New Roman" w:hAnsi="Century Gothic" w:cs="Arial"/>
          <w:bdr w:val="none" w:sz="0" w:space="0" w:color="auto" w:frame="1"/>
        </w:rPr>
        <w:t xml:space="preserve">Segundo </w:t>
      </w:r>
      <w:r w:rsidRPr="003F08DE">
        <w:rPr>
          <w:rFonts w:ascii="Century Gothic" w:eastAsia="Times New Roman" w:hAnsi="Century Gothic" w:cs="Arial"/>
          <w:bdr w:val="none" w:sz="0" w:space="0" w:color="auto" w:frame="1"/>
        </w:rPr>
        <w:t xml:space="preserve">período </w:t>
      </w:r>
      <w:r w:rsidR="00980940" w:rsidRPr="003F08DE">
        <w:rPr>
          <w:rFonts w:ascii="Century Gothic" w:eastAsia="Times New Roman" w:hAnsi="Century Gothic" w:cs="Arial"/>
          <w:bdr w:val="none" w:sz="0" w:space="0" w:color="auto" w:frame="1"/>
        </w:rPr>
        <w:t>vacacional iniciará el veinte de diciembre de dos mil dieciocho y concluirá el cuatro de enero de dos mil nueve, lapso en que los días serán inhábiles; reanudándose labores el siete de enero del año dos mil diecinueve.</w:t>
      </w:r>
    </w:p>
    <w:p w14:paraId="1106A84E" w14:textId="10FEDF54" w:rsidR="004D0327" w:rsidRPr="003F08DE" w:rsidRDefault="00980940" w:rsidP="00E64486">
      <w:pPr>
        <w:spacing w:after="0" w:line="360" w:lineRule="auto"/>
        <w:ind w:right="284" w:firstLine="567"/>
        <w:jc w:val="both"/>
        <w:rPr>
          <w:rFonts w:ascii="Century Gothic" w:hAnsi="Century Gothic"/>
        </w:rPr>
      </w:pPr>
      <w:r w:rsidRPr="003F08DE">
        <w:rPr>
          <w:rFonts w:ascii="Century Gothic" w:hAnsi="Century Gothic" w:cs="Calibri"/>
          <w:color w:val="000000"/>
        </w:rPr>
        <w:t xml:space="preserve">Lo anterior </w:t>
      </w:r>
      <w:r w:rsidR="003F08DE" w:rsidRPr="003F08DE">
        <w:rPr>
          <w:rFonts w:ascii="Century Gothic" w:hAnsi="Century Gothic" w:cs="Calibri"/>
          <w:color w:val="000000"/>
        </w:rPr>
        <w:t>c</w:t>
      </w:r>
      <w:r w:rsidRPr="003F08DE">
        <w:rPr>
          <w:rFonts w:ascii="Century Gothic" w:hAnsi="Century Gothic" w:cs="Calibri"/>
          <w:color w:val="000000"/>
        </w:rPr>
        <w:t>on fundamento en lo aprobado  por e</w:t>
      </w:r>
      <w:r w:rsidR="004D0327" w:rsidRPr="003F08DE">
        <w:rPr>
          <w:rFonts w:ascii="Century Gothic" w:hAnsi="Century Gothic" w:cs="Calibri"/>
          <w:color w:val="000000"/>
        </w:rPr>
        <w:t xml:space="preserve">l Pleno de la Sala Superior, </w:t>
      </w:r>
      <w:r w:rsidRPr="003F08DE">
        <w:rPr>
          <w:rFonts w:ascii="Century Gothic" w:hAnsi="Century Gothic" w:cs="Calibri"/>
          <w:color w:val="000000"/>
        </w:rPr>
        <w:t xml:space="preserve">en los </w:t>
      </w:r>
      <w:r w:rsidR="004D0327" w:rsidRPr="003F08DE">
        <w:rPr>
          <w:rFonts w:ascii="Century Gothic" w:hAnsi="Century Gothic" w:cs="Calibri"/>
          <w:color w:val="000000"/>
        </w:rPr>
        <w:t>Acuerdo</w:t>
      </w:r>
      <w:r w:rsidRPr="003F08DE">
        <w:rPr>
          <w:rFonts w:ascii="Century Gothic" w:hAnsi="Century Gothic" w:cs="Calibri"/>
          <w:color w:val="000000"/>
        </w:rPr>
        <w:t>s:</w:t>
      </w:r>
      <w:r w:rsidR="004D0327" w:rsidRPr="003F08DE">
        <w:rPr>
          <w:rFonts w:ascii="Century Gothic" w:hAnsi="Century Gothic" w:cs="Calibri"/>
          <w:color w:val="000000"/>
        </w:rPr>
        <w:t xml:space="preserve"> </w:t>
      </w:r>
      <w:r w:rsidR="004D0327" w:rsidRPr="003F08DE">
        <w:rPr>
          <w:rFonts w:ascii="Century Gothic" w:hAnsi="Century Gothic" w:cs="Calibri"/>
          <w:b/>
          <w:color w:val="000000"/>
        </w:rPr>
        <w:t>PSS/I/003/2018</w:t>
      </w:r>
      <w:r w:rsidR="004D0327" w:rsidRPr="003F08DE">
        <w:rPr>
          <w:rFonts w:ascii="Century Gothic" w:hAnsi="Century Gothic" w:cs="Calibri"/>
          <w:color w:val="000000"/>
        </w:rPr>
        <w:t xml:space="preserve">, publicado en el Periódico Oficial del Estado </w:t>
      </w:r>
      <w:r w:rsidR="00544162" w:rsidRPr="003F08DE">
        <w:rPr>
          <w:rFonts w:ascii="Century Gothic" w:hAnsi="Century Gothic" w:cs="Calibri"/>
          <w:color w:val="000000"/>
        </w:rPr>
        <w:t xml:space="preserve">el </w:t>
      </w:r>
      <w:r w:rsidR="004D0327" w:rsidRPr="003F08DE">
        <w:rPr>
          <w:rFonts w:ascii="Century Gothic" w:hAnsi="Century Gothic" w:cs="Calibri"/>
          <w:color w:val="000000"/>
        </w:rPr>
        <w:t>nueve de enero de dos mil dieciocho</w:t>
      </w:r>
      <w:r w:rsidRPr="003F08DE">
        <w:rPr>
          <w:rFonts w:ascii="Century Gothic" w:hAnsi="Century Gothic" w:cs="Calibri"/>
          <w:color w:val="000000"/>
        </w:rPr>
        <w:t xml:space="preserve">, </w:t>
      </w:r>
      <w:r w:rsidR="004D0327" w:rsidRPr="003F08DE">
        <w:rPr>
          <w:rFonts w:ascii="Century Gothic" w:hAnsi="Century Gothic" w:cs="Calibri"/>
          <w:b/>
          <w:color w:val="000000"/>
        </w:rPr>
        <w:t>PSS/VI/012/2018</w:t>
      </w:r>
      <w:r w:rsidR="004D0327" w:rsidRPr="003F08DE">
        <w:rPr>
          <w:rFonts w:ascii="Century Gothic" w:hAnsi="Century Gothic" w:cs="Calibri"/>
          <w:color w:val="000000"/>
        </w:rPr>
        <w:t xml:space="preserve"> publicado en el Periódico Oficial del Estado el dos de marzo del presente año</w:t>
      </w:r>
      <w:r w:rsidR="00242D00" w:rsidRPr="003F08DE">
        <w:rPr>
          <w:rFonts w:ascii="Century Gothic" w:hAnsi="Century Gothic" w:cs="Calibri"/>
          <w:color w:val="000000"/>
        </w:rPr>
        <w:t xml:space="preserve"> y</w:t>
      </w:r>
      <w:r w:rsidRPr="003F08DE">
        <w:rPr>
          <w:rFonts w:ascii="Century Gothic" w:hAnsi="Century Gothic" w:cs="Calibri"/>
          <w:color w:val="000000"/>
        </w:rPr>
        <w:t xml:space="preserve"> </w:t>
      </w:r>
      <w:r w:rsidRPr="003F08DE">
        <w:rPr>
          <w:rFonts w:ascii="Century Gothic" w:hAnsi="Century Gothic" w:cs="Calibri"/>
          <w:b/>
          <w:color w:val="000000"/>
        </w:rPr>
        <w:t>PSS/XXV/053/2018</w:t>
      </w:r>
      <w:r w:rsidR="00544162" w:rsidRPr="003F08DE">
        <w:rPr>
          <w:rFonts w:ascii="Century Gothic" w:hAnsi="Century Gothic" w:cs="Calibri"/>
          <w:b/>
          <w:color w:val="000000"/>
        </w:rPr>
        <w:t xml:space="preserve">, </w:t>
      </w:r>
      <w:r w:rsidR="00544162" w:rsidRPr="003F08DE">
        <w:rPr>
          <w:rFonts w:ascii="Century Gothic" w:hAnsi="Century Gothic" w:cs="Calibri"/>
          <w:color w:val="000000"/>
        </w:rPr>
        <w:t>publicado en el Periódico Oficial del Estado el nueve de noviembre de dos mil dieciocho</w:t>
      </w:r>
      <w:r w:rsidR="003F08DE" w:rsidRPr="003F08DE">
        <w:rPr>
          <w:rFonts w:ascii="Century Gothic" w:hAnsi="Century Gothic" w:cs="Calibri"/>
          <w:color w:val="000000"/>
        </w:rPr>
        <w:t>,</w:t>
      </w:r>
      <w:r w:rsidR="00544162" w:rsidRPr="003F08DE">
        <w:rPr>
          <w:rFonts w:ascii="Century Gothic" w:hAnsi="Century Gothic" w:cs="Calibri"/>
          <w:color w:val="000000"/>
        </w:rPr>
        <w:t xml:space="preserve"> que los adiciona respecto al segundo periodo de vacaciones.</w:t>
      </w:r>
    </w:p>
    <w:p w14:paraId="47736418" w14:textId="77777777" w:rsidR="007937B4" w:rsidRDefault="007937B4" w:rsidP="00825754">
      <w:pPr>
        <w:spacing w:after="0" w:line="240" w:lineRule="auto"/>
        <w:jc w:val="both"/>
        <w:rPr>
          <w:rFonts w:ascii="Century Gothic" w:hAnsi="Century Gothic"/>
        </w:rPr>
      </w:pPr>
    </w:p>
    <w:p w14:paraId="30D3C98E" w14:textId="16573328" w:rsidR="0092527D" w:rsidRPr="00825754" w:rsidRDefault="0092527D" w:rsidP="00D66688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560AF">
        <w:rPr>
          <w:rFonts w:ascii="Century Gothic" w:hAnsi="Century Gothic"/>
          <w:color w:val="000000"/>
          <w:sz w:val="22"/>
          <w:szCs w:val="22"/>
        </w:rPr>
        <w:t>0</w:t>
      </w:r>
      <w:r w:rsidR="0014762A">
        <w:rPr>
          <w:rFonts w:ascii="Century Gothic" w:hAnsi="Century Gothic"/>
          <w:color w:val="000000"/>
          <w:sz w:val="22"/>
          <w:szCs w:val="22"/>
        </w:rPr>
        <w:t>3</w:t>
      </w:r>
      <w:r w:rsidR="00D87527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14762A">
        <w:rPr>
          <w:rFonts w:ascii="Century Gothic" w:hAnsi="Century Gothic"/>
          <w:color w:val="000000"/>
          <w:sz w:val="22"/>
          <w:szCs w:val="22"/>
        </w:rPr>
        <w:t xml:space="preserve">diciembre </w:t>
      </w:r>
      <w:r w:rsidR="009A32BC">
        <w:rPr>
          <w:rFonts w:ascii="Century Gothic" w:hAnsi="Century Gothic"/>
          <w:color w:val="000000"/>
          <w:sz w:val="22"/>
          <w:szCs w:val="22"/>
        </w:rPr>
        <w:t>de 2018</w:t>
      </w:r>
    </w:p>
    <w:p w14:paraId="47E82873" w14:textId="77777777" w:rsidR="0092527D" w:rsidRPr="00825754" w:rsidRDefault="0092527D" w:rsidP="00D66688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527E1C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306491C7" w14:textId="77777777" w:rsidR="0092527D" w:rsidRPr="00825754" w:rsidRDefault="0092527D" w:rsidP="00D66688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1D395C82" w14:textId="77777777" w:rsidR="0092527D" w:rsidRPr="00825754" w:rsidRDefault="0092527D" w:rsidP="00D66688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3C9E9934" w14:textId="77777777" w:rsidR="0092527D" w:rsidRPr="00825754" w:rsidRDefault="0092527D" w:rsidP="00D66688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79E5" w14:textId="77777777" w:rsidR="00F76880" w:rsidRDefault="00F76880" w:rsidP="003B6F56">
      <w:pPr>
        <w:spacing w:after="0" w:line="240" w:lineRule="auto"/>
      </w:pPr>
      <w:r>
        <w:separator/>
      </w:r>
    </w:p>
  </w:endnote>
  <w:endnote w:type="continuationSeparator" w:id="0">
    <w:p w14:paraId="1B4B605F" w14:textId="77777777" w:rsidR="00F76880" w:rsidRDefault="00F76880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7588" w14:textId="77777777" w:rsidR="00274605" w:rsidRPr="00274605" w:rsidRDefault="003B6F56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Blvd. Francisco Coss s/n entre Purcell y Presidente Cárdenas, Zona Centro C.P. 25000 </w:t>
    </w:r>
    <w:r w:rsidR="00274605" w:rsidRPr="00274605">
      <w:rPr>
        <w:rFonts w:ascii="Century Gothic" w:hAnsi="Century Gothic"/>
        <w:color w:val="808080" w:themeColor="background1" w:themeShade="80"/>
        <w:sz w:val="15"/>
        <w:szCs w:val="15"/>
      </w:rPr>
      <w:t>Saltillo, Coahuila de Zaragoza</w:t>
    </w:r>
  </w:p>
  <w:p w14:paraId="3F5E98BB" w14:textId="77777777" w:rsidR="00274605" w:rsidRPr="00274605" w:rsidRDefault="003B6F56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 w:rsidR="004360C8">
      <w:rPr>
        <w:rFonts w:ascii="Century Gothic" w:hAnsi="Century Gothic"/>
        <w:color w:val="808080" w:themeColor="background1" w:themeShade="80"/>
        <w:sz w:val="15"/>
        <w:szCs w:val="15"/>
      </w:rPr>
      <w:t>1 23 03 10</w:t>
    </w:r>
    <w:r w:rsidR="00274605"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  </w:t>
    </w:r>
    <w:hyperlink r:id="rId1" w:history="1">
      <w:r w:rsidR="00274605"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14:paraId="2B160BDC" w14:textId="77777777" w:rsidR="003B6F56" w:rsidRPr="00274605" w:rsidRDefault="003B6F56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C31D1" w14:textId="77777777" w:rsidR="00F76880" w:rsidRDefault="00F76880" w:rsidP="003B6F56">
      <w:pPr>
        <w:spacing w:after="0" w:line="240" w:lineRule="auto"/>
      </w:pPr>
      <w:r>
        <w:separator/>
      </w:r>
    </w:p>
  </w:footnote>
  <w:footnote w:type="continuationSeparator" w:id="0">
    <w:p w14:paraId="37FFF2E4" w14:textId="77777777" w:rsidR="00F76880" w:rsidRDefault="00F76880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B3E6" w14:textId="77777777" w:rsidR="003B6F56" w:rsidRDefault="003B6F5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3FA923A" wp14:editId="7EC89DAC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D946B7" w14:textId="77777777" w:rsidR="003B6F56" w:rsidRDefault="003B6F56">
    <w:pPr>
      <w:pStyle w:val="Encabezado"/>
    </w:pPr>
  </w:p>
  <w:p w14:paraId="407A8AE2" w14:textId="77777777" w:rsidR="003B6F56" w:rsidRDefault="003B6F56">
    <w:pPr>
      <w:pStyle w:val="Encabezado"/>
    </w:pPr>
  </w:p>
  <w:p w14:paraId="382EE6FB" w14:textId="77777777" w:rsidR="003B6F56" w:rsidRDefault="003B6F56">
    <w:pPr>
      <w:pStyle w:val="Encabezado"/>
    </w:pPr>
  </w:p>
  <w:p w14:paraId="7A5FEDB7" w14:textId="77777777" w:rsidR="001905DA" w:rsidRPr="006250CA" w:rsidRDefault="001905DA" w:rsidP="001905DA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4D2F9112" w14:textId="77777777" w:rsidR="00274605" w:rsidRDefault="008E645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55D12F" wp14:editId="0446E21A">
          <wp:simplePos x="0" y="0"/>
          <wp:positionH relativeFrom="column">
            <wp:posOffset>535305</wp:posOffset>
          </wp:positionH>
          <wp:positionV relativeFrom="paragraph">
            <wp:posOffset>3323699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2B20"/>
    <w:multiLevelType w:val="hybridMultilevel"/>
    <w:tmpl w:val="1CFA27A8"/>
    <w:lvl w:ilvl="0" w:tplc="08FCF5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2B5B"/>
    <w:multiLevelType w:val="hybridMultilevel"/>
    <w:tmpl w:val="2E6C69BE"/>
    <w:lvl w:ilvl="0" w:tplc="60B8E7FC">
      <w:start w:val="25"/>
      <w:numFmt w:val="bullet"/>
      <w:lvlText w:val="-"/>
      <w:lvlJc w:val="left"/>
      <w:pPr>
        <w:ind w:left="572" w:hanging="360"/>
      </w:pPr>
      <w:rPr>
        <w:rFonts w:ascii="Century Gothic" w:eastAsia="Times New Roman" w:hAnsi="Century Gothic" w:cs="Calibri" w:hint="default"/>
      </w:rPr>
    </w:lvl>
    <w:lvl w:ilvl="1" w:tplc="080A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1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7"/>
  </w:num>
  <w:num w:numId="5">
    <w:abstractNumId w:val="15"/>
  </w:num>
  <w:num w:numId="6">
    <w:abstractNumId w:val="3"/>
  </w:num>
  <w:num w:numId="7">
    <w:abstractNumId w:val="2"/>
  </w:num>
  <w:num w:numId="8">
    <w:abstractNumId w:val="4"/>
  </w:num>
  <w:num w:numId="9">
    <w:abstractNumId w:val="23"/>
  </w:num>
  <w:num w:numId="10">
    <w:abstractNumId w:val="18"/>
  </w:num>
  <w:num w:numId="11">
    <w:abstractNumId w:val="1"/>
  </w:num>
  <w:num w:numId="12">
    <w:abstractNumId w:val="11"/>
  </w:num>
  <w:num w:numId="13">
    <w:abstractNumId w:val="13"/>
  </w:num>
  <w:num w:numId="14">
    <w:abstractNumId w:val="6"/>
  </w:num>
  <w:num w:numId="15">
    <w:abstractNumId w:val="5"/>
  </w:num>
  <w:num w:numId="16">
    <w:abstractNumId w:val="10"/>
  </w:num>
  <w:num w:numId="17">
    <w:abstractNumId w:val="19"/>
  </w:num>
  <w:num w:numId="18">
    <w:abstractNumId w:val="8"/>
  </w:num>
  <w:num w:numId="19">
    <w:abstractNumId w:val="22"/>
  </w:num>
  <w:num w:numId="20">
    <w:abstractNumId w:val="16"/>
  </w:num>
  <w:num w:numId="21">
    <w:abstractNumId w:val="14"/>
  </w:num>
  <w:num w:numId="22">
    <w:abstractNumId w:val="7"/>
  </w:num>
  <w:num w:numId="23">
    <w:abstractNumId w:val="12"/>
  </w:num>
  <w:num w:numId="24">
    <w:abstractNumId w:val="2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601BD"/>
    <w:rsid w:val="000764E3"/>
    <w:rsid w:val="000D17B9"/>
    <w:rsid w:val="00136B6A"/>
    <w:rsid w:val="0014687A"/>
    <w:rsid w:val="0014762A"/>
    <w:rsid w:val="00157F0A"/>
    <w:rsid w:val="001905DA"/>
    <w:rsid w:val="001F4967"/>
    <w:rsid w:val="00213D4F"/>
    <w:rsid w:val="00225997"/>
    <w:rsid w:val="002327FF"/>
    <w:rsid w:val="00242D00"/>
    <w:rsid w:val="00253B0E"/>
    <w:rsid w:val="00274605"/>
    <w:rsid w:val="0028521C"/>
    <w:rsid w:val="00353D7F"/>
    <w:rsid w:val="003B6F56"/>
    <w:rsid w:val="003F08DE"/>
    <w:rsid w:val="0040008F"/>
    <w:rsid w:val="004360C8"/>
    <w:rsid w:val="00440A97"/>
    <w:rsid w:val="004511F1"/>
    <w:rsid w:val="00477366"/>
    <w:rsid w:val="004774EF"/>
    <w:rsid w:val="004A2693"/>
    <w:rsid w:val="004A626F"/>
    <w:rsid w:val="004D0327"/>
    <w:rsid w:val="004D6404"/>
    <w:rsid w:val="004D66BD"/>
    <w:rsid w:val="004E7736"/>
    <w:rsid w:val="00527E1C"/>
    <w:rsid w:val="00544162"/>
    <w:rsid w:val="00583712"/>
    <w:rsid w:val="005C54C0"/>
    <w:rsid w:val="006C2B7E"/>
    <w:rsid w:val="006C5981"/>
    <w:rsid w:val="006D788C"/>
    <w:rsid w:val="00710B63"/>
    <w:rsid w:val="0071290C"/>
    <w:rsid w:val="007370A6"/>
    <w:rsid w:val="00754C69"/>
    <w:rsid w:val="00771009"/>
    <w:rsid w:val="00773C66"/>
    <w:rsid w:val="007937B4"/>
    <w:rsid w:val="007A565C"/>
    <w:rsid w:val="007D1B8D"/>
    <w:rsid w:val="00821E7D"/>
    <w:rsid w:val="00825754"/>
    <w:rsid w:val="00866759"/>
    <w:rsid w:val="008928DE"/>
    <w:rsid w:val="008A286A"/>
    <w:rsid w:val="008E645F"/>
    <w:rsid w:val="0092527D"/>
    <w:rsid w:val="00926F37"/>
    <w:rsid w:val="00933B4A"/>
    <w:rsid w:val="00980940"/>
    <w:rsid w:val="009815A9"/>
    <w:rsid w:val="00986DDA"/>
    <w:rsid w:val="009A32BC"/>
    <w:rsid w:val="009A71E1"/>
    <w:rsid w:val="009C5036"/>
    <w:rsid w:val="009D1326"/>
    <w:rsid w:val="009F74A5"/>
    <w:rsid w:val="00A560AF"/>
    <w:rsid w:val="00AE7A63"/>
    <w:rsid w:val="00B36566"/>
    <w:rsid w:val="00B36E4E"/>
    <w:rsid w:val="00BA6A3B"/>
    <w:rsid w:val="00BB4C2E"/>
    <w:rsid w:val="00BF026D"/>
    <w:rsid w:val="00C02A6B"/>
    <w:rsid w:val="00C1121D"/>
    <w:rsid w:val="00C222CF"/>
    <w:rsid w:val="00C23074"/>
    <w:rsid w:val="00C31A64"/>
    <w:rsid w:val="00C6567C"/>
    <w:rsid w:val="00CA29D5"/>
    <w:rsid w:val="00CB1D1D"/>
    <w:rsid w:val="00CD26FE"/>
    <w:rsid w:val="00D05B1A"/>
    <w:rsid w:val="00D226B1"/>
    <w:rsid w:val="00D4097D"/>
    <w:rsid w:val="00D66688"/>
    <w:rsid w:val="00D87527"/>
    <w:rsid w:val="00DC6768"/>
    <w:rsid w:val="00E54926"/>
    <w:rsid w:val="00E64486"/>
    <w:rsid w:val="00EA1638"/>
    <w:rsid w:val="00ED29DC"/>
    <w:rsid w:val="00ED5FD2"/>
    <w:rsid w:val="00EE24A8"/>
    <w:rsid w:val="00F76880"/>
    <w:rsid w:val="00F76F9D"/>
    <w:rsid w:val="00F80FEC"/>
    <w:rsid w:val="00FB53EC"/>
    <w:rsid w:val="00FC071B"/>
    <w:rsid w:val="00FC55B1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B57DB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A3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A32BC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4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6871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2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5860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12FD-F830-4000-A5AA-C616532B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43</cp:revision>
  <cp:lastPrinted>2018-12-07T21:56:00Z</cp:lastPrinted>
  <dcterms:created xsi:type="dcterms:W3CDTF">2017-12-15T15:08:00Z</dcterms:created>
  <dcterms:modified xsi:type="dcterms:W3CDTF">2018-12-07T21:56:00Z</dcterms:modified>
</cp:coreProperties>
</file>