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3A72" w14:textId="77777777" w:rsidR="00142A2F" w:rsidRPr="0037351F" w:rsidRDefault="00142A2F" w:rsidP="00142A2F">
      <w:pPr>
        <w:spacing w:after="0"/>
        <w:jc w:val="both"/>
        <w:rPr>
          <w:rFonts w:ascii="Avenir Next LT Pro" w:eastAsia="Times New Roman" w:hAnsi="Avenir Next LT Pro" w:cs="Segoe UI"/>
          <w:b/>
          <w:color w:val="212121"/>
          <w:sz w:val="24"/>
          <w:szCs w:val="24"/>
          <w:lang w:eastAsia="es-MX"/>
        </w:rPr>
      </w:pPr>
      <w:r w:rsidRPr="0037351F">
        <w:rPr>
          <w:rFonts w:ascii="Avenir Next LT Pro" w:eastAsia="Times New Roman" w:hAnsi="Avenir Next LT Pro" w:cs="Segoe UI"/>
          <w:b/>
          <w:color w:val="212121"/>
          <w:sz w:val="24"/>
          <w:szCs w:val="24"/>
          <w:lang w:eastAsia="es-MX"/>
        </w:rPr>
        <w:t>ARTÍCULO 21</w:t>
      </w:r>
    </w:p>
    <w:p w14:paraId="064CE89B" w14:textId="77777777" w:rsidR="00142A2F" w:rsidRPr="0037351F" w:rsidRDefault="00142A2F" w:rsidP="00142A2F">
      <w:pPr>
        <w:spacing w:after="0"/>
        <w:jc w:val="both"/>
        <w:rPr>
          <w:rFonts w:ascii="Avenir Next LT Pro" w:eastAsia="Times New Roman" w:hAnsi="Avenir Next LT Pro" w:cs="Segoe UI"/>
          <w:b/>
          <w:color w:val="212121"/>
          <w:sz w:val="24"/>
          <w:szCs w:val="24"/>
          <w:lang w:eastAsia="es-MX"/>
        </w:rPr>
      </w:pPr>
      <w:r w:rsidRPr="0037351F">
        <w:rPr>
          <w:rFonts w:ascii="Avenir Next LT Pro" w:eastAsia="Times New Roman" w:hAnsi="Avenir Next LT Pro" w:cs="Segoe UI"/>
          <w:b/>
          <w:color w:val="212121"/>
          <w:sz w:val="24"/>
          <w:szCs w:val="24"/>
          <w:lang w:eastAsia="es-MX"/>
        </w:rPr>
        <w:t>FRACCIÓN XXXIX</w:t>
      </w:r>
    </w:p>
    <w:p w14:paraId="4F8436D5" w14:textId="2B1F4364"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r w:rsidRPr="0037351F">
        <w:rPr>
          <w:rFonts w:ascii="Avenir Next LT Pro" w:eastAsia="Times New Roman" w:hAnsi="Avenir Next LT Pro" w:cs="Segoe UI"/>
          <w:b/>
          <w:color w:val="212121"/>
          <w:sz w:val="24"/>
          <w:szCs w:val="24"/>
          <w:lang w:eastAsia="es-MX"/>
        </w:rPr>
        <w:t>SISTEMAS PENSIONARIOS</w:t>
      </w:r>
    </w:p>
    <w:p w14:paraId="1E386FE2"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p>
    <w:p w14:paraId="7628F728"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p>
    <w:p w14:paraId="1C9EB35E" w14:textId="2B5C8B74" w:rsidR="00142A2F" w:rsidRPr="0037351F" w:rsidRDefault="00142A2F" w:rsidP="00142A2F">
      <w:pPr>
        <w:tabs>
          <w:tab w:val="left" w:pos="9072"/>
        </w:tabs>
        <w:spacing w:after="0" w:line="360" w:lineRule="auto"/>
        <w:ind w:right="823"/>
        <w:jc w:val="both"/>
        <w:rPr>
          <w:rFonts w:ascii="Avenir Next LT Pro" w:hAnsi="Avenir Next LT Pro" w:cs="Arial"/>
          <w:sz w:val="24"/>
          <w:szCs w:val="24"/>
        </w:rPr>
      </w:pPr>
      <w:r w:rsidRPr="0037351F">
        <w:rPr>
          <w:rFonts w:ascii="Avenir Next LT Pro" w:hAnsi="Avenir Next LT Pro" w:cs="Arial"/>
          <w:sz w:val="24"/>
          <w:szCs w:val="24"/>
        </w:rPr>
        <w:t>Este apartado de la Ley de Acceso a la Información y Protección de Datos Personales para el Estado de Coahuila no aplica, por encontrarse fuera del objeto y funciones de este Tribunal, según lo dispuesto en el artículo 3° de la Ley Orgánica del TJA. Cabe señalar que corresponde al Instituto Estatal de Pensiones, por tratarse de atribuciones inherentes a éste</w:t>
      </w:r>
      <w:r w:rsidR="00197AC5">
        <w:rPr>
          <w:rFonts w:ascii="Avenir Next LT Pro" w:hAnsi="Avenir Next LT Pro" w:cs="Arial"/>
          <w:sz w:val="24"/>
          <w:szCs w:val="24"/>
        </w:rPr>
        <w:t>.</w:t>
      </w:r>
    </w:p>
    <w:p w14:paraId="0F53DE1D" w14:textId="77777777" w:rsidR="00142A2F" w:rsidRPr="0037351F" w:rsidRDefault="00142A2F" w:rsidP="00142A2F">
      <w:pPr>
        <w:tabs>
          <w:tab w:val="left" w:pos="9072"/>
        </w:tabs>
        <w:spacing w:after="0" w:line="360" w:lineRule="auto"/>
        <w:ind w:right="823"/>
        <w:jc w:val="both"/>
        <w:rPr>
          <w:rFonts w:ascii="Avenir Next LT Pro" w:hAnsi="Avenir Next LT Pro" w:cs="Arial"/>
          <w:sz w:val="24"/>
          <w:szCs w:val="24"/>
        </w:rPr>
      </w:pPr>
    </w:p>
    <w:p w14:paraId="1F7CC485" w14:textId="77777777" w:rsidR="00142A2F" w:rsidRPr="0037351F" w:rsidRDefault="00142A2F" w:rsidP="00142A2F">
      <w:pPr>
        <w:tabs>
          <w:tab w:val="left" w:pos="9072"/>
        </w:tabs>
        <w:spacing w:after="0" w:line="360" w:lineRule="auto"/>
        <w:ind w:right="823"/>
        <w:jc w:val="both"/>
        <w:rPr>
          <w:rFonts w:ascii="Avenir Next LT Pro" w:hAnsi="Avenir Next LT Pro" w:cs="Arial"/>
          <w:sz w:val="24"/>
          <w:szCs w:val="24"/>
        </w:rPr>
      </w:pPr>
      <w:r w:rsidRPr="0037351F">
        <w:rPr>
          <w:rFonts w:ascii="Avenir Next LT Pro" w:hAnsi="Avenir Next LT Pro" w:cs="Arial"/>
          <w:sz w:val="24"/>
          <w:szCs w:val="24"/>
        </w:rPr>
        <w:t>Sin embargo, si desea consultar el estado que guardan las Pensiones en el Instituto de Pensiones para los Trabajadores al Servicio del Estado, favor de seguir la liga que se proporciona a continuación para redireccionarlo al apartado correspondiente:</w:t>
      </w:r>
    </w:p>
    <w:p w14:paraId="108BEED2" w14:textId="3F13841D" w:rsidR="00142A2F" w:rsidRPr="0037351F" w:rsidRDefault="00C02BD0" w:rsidP="00142A2F">
      <w:pPr>
        <w:jc w:val="both"/>
        <w:rPr>
          <w:rStyle w:val="Hipervnculo"/>
          <w:rFonts w:ascii="Avenir Next LT Pro" w:hAnsi="Avenir Next LT Pro"/>
          <w:b/>
          <w:bCs/>
          <w:sz w:val="24"/>
          <w:szCs w:val="24"/>
        </w:rPr>
      </w:pPr>
      <w:hyperlink r:id="rId7" w:history="1">
        <w:r w:rsidR="00142A2F" w:rsidRPr="0037351F">
          <w:rPr>
            <w:rStyle w:val="Hipervnculo"/>
            <w:rFonts w:ascii="Avenir Next LT Pro" w:hAnsi="Avenir Next LT Pro"/>
            <w:b/>
            <w:bCs/>
            <w:sz w:val="24"/>
            <w:szCs w:val="24"/>
          </w:rPr>
          <w:t>IPPTSEPensiones11326.pdf (coahuilatransparente.gob.mx)</w:t>
        </w:r>
      </w:hyperlink>
      <w:r w:rsidR="00FC4C41">
        <w:rPr>
          <w:rStyle w:val="Hipervnculo"/>
          <w:rFonts w:ascii="Avenir Next LT Pro" w:hAnsi="Avenir Next LT Pro"/>
          <w:b/>
          <w:bCs/>
          <w:sz w:val="24"/>
          <w:szCs w:val="24"/>
        </w:rPr>
        <w:t xml:space="preserve"> </w:t>
      </w:r>
    </w:p>
    <w:p w14:paraId="6355B339"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Cs/>
          <w:color w:val="212121"/>
          <w:sz w:val="24"/>
          <w:szCs w:val="24"/>
          <w:lang w:eastAsia="es-MX"/>
        </w:rPr>
      </w:pPr>
    </w:p>
    <w:p w14:paraId="69C96FBD" w14:textId="77777777" w:rsidR="00142A2F" w:rsidRPr="0037351F" w:rsidRDefault="00142A2F" w:rsidP="00142A2F">
      <w:pPr>
        <w:tabs>
          <w:tab w:val="left" w:pos="9072"/>
        </w:tabs>
        <w:spacing w:after="0" w:line="360" w:lineRule="auto"/>
        <w:ind w:right="823"/>
        <w:jc w:val="both"/>
        <w:rPr>
          <w:rFonts w:ascii="Avenir Next LT Pro" w:eastAsia="Times New Roman" w:hAnsi="Avenir Next LT Pro" w:cs="Segoe UI"/>
          <w:bCs/>
          <w:color w:val="212121"/>
          <w:sz w:val="24"/>
          <w:szCs w:val="24"/>
          <w:lang w:eastAsia="es-MX"/>
        </w:rPr>
      </w:pPr>
      <w:r w:rsidRPr="0037351F">
        <w:rPr>
          <w:rFonts w:ascii="Avenir Next LT Pro" w:eastAsia="Times New Roman" w:hAnsi="Avenir Next LT Pro" w:cs="Segoe UI"/>
          <w:bCs/>
          <w:color w:val="212121"/>
          <w:sz w:val="24"/>
          <w:szCs w:val="24"/>
          <w:lang w:eastAsia="es-MX"/>
        </w:rPr>
        <w:t xml:space="preserve">Cabe mencionar que existe un convenio de colaboración entre la Secretaría de Finanzas del Estado y el Tribunal de Justicia Administrativa de Coahuila de Zaragoza para la operación del proceso de nómina y pagos a </w:t>
      </w:r>
      <w:r w:rsidRPr="0037351F">
        <w:rPr>
          <w:rFonts w:ascii="Avenir Next LT Pro" w:eastAsia="Times New Roman" w:hAnsi="Avenir Next LT Pro" w:cs="Segoe UI"/>
          <w:b/>
          <w:color w:val="212121"/>
          <w:sz w:val="24"/>
          <w:szCs w:val="24"/>
          <w:lang w:eastAsia="es-MX"/>
        </w:rPr>
        <w:t>terceros</w:t>
      </w:r>
      <w:r w:rsidRPr="0037351F">
        <w:rPr>
          <w:rFonts w:ascii="Avenir Next LT Pro" w:eastAsia="Times New Roman" w:hAnsi="Avenir Next LT Pro" w:cs="Segoe UI"/>
          <w:bCs/>
          <w:color w:val="212121"/>
          <w:sz w:val="24"/>
          <w:szCs w:val="24"/>
          <w:lang w:eastAsia="es-MX"/>
        </w:rPr>
        <w:t>, mismo que podrá consultar mediante el siguiente link:</w:t>
      </w:r>
    </w:p>
    <w:p w14:paraId="6FD0A449" w14:textId="77777777" w:rsidR="00142A2F" w:rsidRPr="0037351F" w:rsidRDefault="00C02BD0" w:rsidP="00142A2F">
      <w:pPr>
        <w:tabs>
          <w:tab w:val="left" w:pos="9072"/>
        </w:tabs>
        <w:spacing w:after="0" w:line="360" w:lineRule="auto"/>
        <w:ind w:right="823"/>
        <w:jc w:val="both"/>
        <w:rPr>
          <w:rFonts w:ascii="Avenir Next LT Pro" w:eastAsia="Times New Roman" w:hAnsi="Avenir Next LT Pro" w:cs="Segoe UI"/>
          <w:b/>
          <w:color w:val="212121"/>
          <w:sz w:val="24"/>
          <w:szCs w:val="24"/>
          <w:lang w:eastAsia="es-MX"/>
        </w:rPr>
      </w:pPr>
      <w:hyperlink r:id="rId8" w:history="1">
        <w:r w:rsidR="00142A2F" w:rsidRPr="0037351F">
          <w:rPr>
            <w:rStyle w:val="Hipervnculo"/>
            <w:rFonts w:ascii="Avenir Next LT Pro" w:eastAsia="Times New Roman" w:hAnsi="Avenir Next LT Pro" w:cs="Segoe UI"/>
            <w:b/>
            <w:sz w:val="24"/>
            <w:szCs w:val="24"/>
            <w:lang w:eastAsia="es-MX"/>
          </w:rPr>
          <w:t>https://www.tjacoahuila.org/assets/sefin.-colaboraci%c3%b3n-para-pago-de-n%c3%b3minas.pdf</w:t>
        </w:r>
      </w:hyperlink>
    </w:p>
    <w:p w14:paraId="323B83AD" w14:textId="4CC117B7" w:rsidR="00142A2F" w:rsidRPr="0037351F" w:rsidRDefault="00562ECC" w:rsidP="00562ECC">
      <w:pPr>
        <w:pStyle w:val="Textonotapie"/>
        <w:tabs>
          <w:tab w:val="left" w:pos="3822"/>
        </w:tabs>
        <w:jc w:val="both"/>
        <w:rPr>
          <w:rFonts w:ascii="Avenir Next LT Pro" w:hAnsi="Avenir Next LT Pro" w:cs="Arial"/>
        </w:rPr>
      </w:pPr>
      <w:r>
        <w:rPr>
          <w:rFonts w:ascii="Avenir Next LT Pro" w:hAnsi="Avenir Next LT Pro" w:cs="Arial"/>
        </w:rPr>
        <w:tab/>
      </w:r>
    </w:p>
    <w:p w14:paraId="303740C4" w14:textId="77777777" w:rsidR="00142A2F" w:rsidRPr="0037351F" w:rsidRDefault="00142A2F" w:rsidP="00142A2F">
      <w:pPr>
        <w:spacing w:after="0" w:line="360" w:lineRule="auto"/>
        <w:ind w:right="681"/>
        <w:jc w:val="both"/>
        <w:rPr>
          <w:rFonts w:ascii="Avenir Next LT Pro" w:hAnsi="Avenir Next LT Pro"/>
          <w:b/>
          <w:sz w:val="24"/>
          <w:szCs w:val="24"/>
          <w:lang w:val="es-ES"/>
        </w:rPr>
      </w:pPr>
    </w:p>
    <w:p w14:paraId="52BC6C87" w14:textId="511BF25E" w:rsidR="00142A2F" w:rsidRPr="00A84D3D" w:rsidRDefault="00142A2F" w:rsidP="00867452">
      <w:pPr>
        <w:spacing w:after="0"/>
        <w:ind w:right="681"/>
        <w:jc w:val="both"/>
        <w:rPr>
          <w:rFonts w:ascii="Avenir Next LT Pro" w:hAnsi="Avenir Next LT Pro"/>
          <w:sz w:val="16"/>
          <w:szCs w:val="16"/>
          <w:lang w:val="es-ES"/>
        </w:rPr>
      </w:pPr>
      <w:r w:rsidRPr="00A84D3D">
        <w:rPr>
          <w:rFonts w:ascii="Avenir Next LT Pro" w:hAnsi="Avenir Next LT Pro"/>
          <w:b/>
          <w:sz w:val="16"/>
          <w:szCs w:val="16"/>
          <w:lang w:val="es-ES"/>
        </w:rPr>
        <w:t>Elaborado por:</w:t>
      </w:r>
      <w:r w:rsidRPr="00A84D3D">
        <w:rPr>
          <w:rFonts w:ascii="Avenir Next LT Pro" w:hAnsi="Avenir Next LT Pro"/>
          <w:sz w:val="16"/>
          <w:szCs w:val="16"/>
          <w:lang w:val="es-ES"/>
        </w:rPr>
        <w:t xml:space="preserve"> </w:t>
      </w:r>
      <w:r w:rsidR="00C175F6">
        <w:rPr>
          <w:rFonts w:ascii="Avenir Next LT Pro" w:hAnsi="Avenir Next LT Pro"/>
          <w:sz w:val="16"/>
          <w:szCs w:val="16"/>
          <w:lang w:val="es-ES"/>
        </w:rPr>
        <w:t xml:space="preserve">Ing. </w:t>
      </w:r>
      <w:r w:rsidRPr="00A84D3D">
        <w:rPr>
          <w:rFonts w:ascii="Avenir Next LT Pro" w:hAnsi="Avenir Next LT Pro"/>
          <w:sz w:val="16"/>
          <w:szCs w:val="16"/>
          <w:lang w:val="es-ES"/>
        </w:rPr>
        <w:t>Ana Gabriela Tovar Mireles. - Directora de Recursos Humanos</w:t>
      </w:r>
    </w:p>
    <w:p w14:paraId="219C6244" w14:textId="053B76B5" w:rsidR="00142A2F" w:rsidRPr="00A84D3D" w:rsidRDefault="00142A2F" w:rsidP="00867452">
      <w:pPr>
        <w:spacing w:after="0"/>
        <w:ind w:right="681"/>
        <w:jc w:val="both"/>
        <w:rPr>
          <w:rFonts w:ascii="Avenir Next LT Pro" w:hAnsi="Avenir Next LT Pro"/>
          <w:sz w:val="16"/>
          <w:szCs w:val="16"/>
          <w:lang w:val="es-ES"/>
        </w:rPr>
      </w:pPr>
      <w:r w:rsidRPr="00A84D3D">
        <w:rPr>
          <w:rFonts w:ascii="Avenir Next LT Pro" w:hAnsi="Avenir Next LT Pro"/>
          <w:b/>
          <w:sz w:val="16"/>
          <w:szCs w:val="16"/>
          <w:lang w:val="es-ES"/>
        </w:rPr>
        <w:t>Autorizado por:</w:t>
      </w:r>
      <w:r w:rsidRPr="00A84D3D">
        <w:rPr>
          <w:rFonts w:ascii="Avenir Next LT Pro" w:hAnsi="Avenir Next LT Pro"/>
          <w:sz w:val="16"/>
          <w:szCs w:val="16"/>
          <w:lang w:val="es-ES"/>
        </w:rPr>
        <w:t xml:space="preserve"> </w:t>
      </w:r>
      <w:r w:rsidR="00C175F6">
        <w:rPr>
          <w:rFonts w:ascii="Avenir Next LT Pro" w:hAnsi="Avenir Next LT Pro"/>
          <w:sz w:val="16"/>
          <w:szCs w:val="16"/>
          <w:lang w:val="es-ES"/>
        </w:rPr>
        <w:t xml:space="preserve">Lic. </w:t>
      </w:r>
      <w:r w:rsidR="00867452" w:rsidRPr="00A84D3D">
        <w:rPr>
          <w:rFonts w:ascii="Avenir Next LT Pro" w:hAnsi="Avenir Next LT Pro"/>
          <w:sz w:val="16"/>
          <w:szCs w:val="16"/>
          <w:lang w:val="es-ES"/>
        </w:rPr>
        <w:t>María Guadalupe Saucedo Sánchez</w:t>
      </w:r>
      <w:r w:rsidRPr="00A84D3D">
        <w:rPr>
          <w:rFonts w:ascii="Avenir Next LT Pro" w:hAnsi="Avenir Next LT Pro"/>
          <w:sz w:val="16"/>
          <w:szCs w:val="16"/>
          <w:lang w:val="es-ES"/>
        </w:rPr>
        <w:t>. - Oficial Mayor</w:t>
      </w:r>
    </w:p>
    <w:p w14:paraId="0772A1C6" w14:textId="1F6B9515" w:rsidR="00142A2F" w:rsidRPr="00A84D3D" w:rsidRDefault="00142A2F" w:rsidP="00867452">
      <w:pPr>
        <w:spacing w:after="0"/>
        <w:ind w:right="681"/>
        <w:jc w:val="both"/>
        <w:rPr>
          <w:rFonts w:ascii="Avenir Next LT Pro" w:hAnsi="Avenir Next LT Pro"/>
          <w:sz w:val="16"/>
          <w:szCs w:val="16"/>
          <w:lang w:val="es-ES"/>
        </w:rPr>
      </w:pPr>
      <w:r w:rsidRPr="00A84D3D">
        <w:rPr>
          <w:rFonts w:ascii="Avenir Next LT Pro" w:hAnsi="Avenir Next LT Pro"/>
          <w:b/>
          <w:sz w:val="16"/>
          <w:szCs w:val="16"/>
          <w:lang w:val="es-ES"/>
        </w:rPr>
        <w:t>Fecha de actualización y/o revisión:</w:t>
      </w:r>
      <w:r w:rsidRPr="00A84D3D">
        <w:rPr>
          <w:rFonts w:ascii="Avenir Next LT Pro" w:hAnsi="Avenir Next LT Pro"/>
          <w:sz w:val="16"/>
          <w:szCs w:val="16"/>
          <w:lang w:val="es-ES"/>
        </w:rPr>
        <w:t xml:space="preserve"> </w:t>
      </w:r>
      <w:r w:rsidR="002F2C0C">
        <w:rPr>
          <w:rFonts w:ascii="Avenir Next LT Pro" w:hAnsi="Avenir Next LT Pro"/>
          <w:sz w:val="16"/>
          <w:szCs w:val="16"/>
          <w:lang w:val="es-ES"/>
        </w:rPr>
        <w:t>01</w:t>
      </w:r>
      <w:r w:rsidRPr="00A84D3D">
        <w:rPr>
          <w:rFonts w:ascii="Avenir Next LT Pro" w:hAnsi="Avenir Next LT Pro"/>
          <w:sz w:val="16"/>
          <w:szCs w:val="16"/>
          <w:lang w:val="es-ES"/>
        </w:rPr>
        <w:t>/</w:t>
      </w:r>
      <w:r w:rsidR="00103345">
        <w:rPr>
          <w:rFonts w:ascii="Avenir Next LT Pro" w:hAnsi="Avenir Next LT Pro"/>
          <w:sz w:val="16"/>
          <w:szCs w:val="16"/>
          <w:lang w:val="es-ES"/>
        </w:rPr>
        <w:t>04</w:t>
      </w:r>
      <w:r w:rsidRPr="00A84D3D">
        <w:rPr>
          <w:rFonts w:ascii="Avenir Next LT Pro" w:hAnsi="Avenir Next LT Pro"/>
          <w:sz w:val="16"/>
          <w:szCs w:val="16"/>
          <w:lang w:val="es-ES"/>
        </w:rPr>
        <w:t>/202</w:t>
      </w:r>
      <w:r w:rsidR="00A54AC8">
        <w:rPr>
          <w:rFonts w:ascii="Avenir Next LT Pro" w:hAnsi="Avenir Next LT Pro"/>
          <w:sz w:val="16"/>
          <w:szCs w:val="16"/>
          <w:lang w:val="es-ES"/>
        </w:rPr>
        <w:t>4</w:t>
      </w:r>
      <w:r w:rsidR="00EF5707">
        <w:rPr>
          <w:rFonts w:ascii="Avenir Next LT Pro" w:hAnsi="Avenir Next LT Pro"/>
          <w:sz w:val="16"/>
          <w:szCs w:val="16"/>
          <w:lang w:val="es-ES"/>
        </w:rPr>
        <w:t>.</w:t>
      </w:r>
    </w:p>
    <w:p w14:paraId="11D87185" w14:textId="18CF7BE6" w:rsidR="00EA76C8" w:rsidRPr="004F00D3" w:rsidRDefault="00EA76C8" w:rsidP="00FD7E3D">
      <w:pPr>
        <w:spacing w:after="0"/>
        <w:jc w:val="right"/>
        <w:rPr>
          <w:rFonts w:ascii="Avenir Next LT Pro Light" w:hAnsi="Avenir Next LT Pro Light" w:cs="Arial"/>
          <w:color w:val="2F5496" w:themeColor="accent1" w:themeShade="BF"/>
          <w:lang w:val="en-US"/>
        </w:rPr>
      </w:pPr>
    </w:p>
    <w:sectPr w:rsidR="00EA76C8" w:rsidRPr="004F00D3" w:rsidSect="002C45D0">
      <w:headerReference w:type="default" r:id="rId9"/>
      <w:footerReference w:type="default" r:id="rId10"/>
      <w:pgSz w:w="12240" w:h="15840"/>
      <w:pgMar w:top="2625" w:right="1134" w:bottom="1418"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25EA" w14:textId="77777777" w:rsidR="002C45D0" w:rsidRDefault="002C45D0" w:rsidP="00A71679">
      <w:pPr>
        <w:spacing w:after="0" w:line="240" w:lineRule="auto"/>
      </w:pPr>
      <w:r>
        <w:separator/>
      </w:r>
    </w:p>
  </w:endnote>
  <w:endnote w:type="continuationSeparator" w:id="0">
    <w:p w14:paraId="5B8CDFDE" w14:textId="77777777" w:rsidR="002C45D0" w:rsidRDefault="002C45D0"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BD13" w14:textId="77777777" w:rsidR="002C45D0" w:rsidRDefault="002C45D0" w:rsidP="00A71679">
      <w:pPr>
        <w:spacing w:after="0" w:line="240" w:lineRule="auto"/>
      </w:pPr>
      <w:r>
        <w:separator/>
      </w:r>
    </w:p>
  </w:footnote>
  <w:footnote w:type="continuationSeparator" w:id="0">
    <w:p w14:paraId="1A5E01B8" w14:textId="77777777" w:rsidR="002C45D0" w:rsidRDefault="002C45D0"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824" w:type="dxa"/>
      <w:tblInd w:w="-1706" w:type="dxa"/>
      <w:tblLook w:val="04A0" w:firstRow="1" w:lastRow="0" w:firstColumn="1" w:lastColumn="0" w:noHBand="0" w:noVBand="1"/>
    </w:tblPr>
    <w:tblGrid>
      <w:gridCol w:w="4750"/>
      <w:gridCol w:w="445"/>
      <w:gridCol w:w="2434"/>
      <w:gridCol w:w="444"/>
      <w:gridCol w:w="4751"/>
    </w:tblGrid>
    <w:tr w:rsidR="00CE3201" w14:paraId="72D243ED" w14:textId="77777777" w:rsidTr="00C175F6">
      <w:trPr>
        <w:trHeight w:val="351"/>
      </w:trPr>
      <w:tc>
        <w:tcPr>
          <w:tcW w:w="4750"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4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43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44"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751"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C175F6">
      <w:trPr>
        <w:trHeight w:val="351"/>
      </w:trPr>
      <w:tc>
        <w:tcPr>
          <w:tcW w:w="5195"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43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5195"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16196"/>
    <w:rsid w:val="00034082"/>
    <w:rsid w:val="000500AB"/>
    <w:rsid w:val="00083324"/>
    <w:rsid w:val="000C7884"/>
    <w:rsid w:val="000D0084"/>
    <w:rsid w:val="000D69B4"/>
    <w:rsid w:val="00103345"/>
    <w:rsid w:val="0010553B"/>
    <w:rsid w:val="00142A2F"/>
    <w:rsid w:val="0019698E"/>
    <w:rsid w:val="00197AC5"/>
    <w:rsid w:val="001A21F8"/>
    <w:rsid w:val="001D0611"/>
    <w:rsid w:val="001E7841"/>
    <w:rsid w:val="00237E7A"/>
    <w:rsid w:val="00275D6A"/>
    <w:rsid w:val="00277480"/>
    <w:rsid w:val="00284D49"/>
    <w:rsid w:val="002C45D0"/>
    <w:rsid w:val="002F03CC"/>
    <w:rsid w:val="002F2C0C"/>
    <w:rsid w:val="00300981"/>
    <w:rsid w:val="003055AE"/>
    <w:rsid w:val="00363089"/>
    <w:rsid w:val="0037351F"/>
    <w:rsid w:val="00374144"/>
    <w:rsid w:val="00385137"/>
    <w:rsid w:val="00393B4C"/>
    <w:rsid w:val="00397648"/>
    <w:rsid w:val="003B5BC5"/>
    <w:rsid w:val="003B6752"/>
    <w:rsid w:val="003D7E9B"/>
    <w:rsid w:val="003F5E7F"/>
    <w:rsid w:val="0040146D"/>
    <w:rsid w:val="00404870"/>
    <w:rsid w:val="00405EDD"/>
    <w:rsid w:val="0042232A"/>
    <w:rsid w:val="00426F7B"/>
    <w:rsid w:val="00433A7A"/>
    <w:rsid w:val="00455911"/>
    <w:rsid w:val="00473704"/>
    <w:rsid w:val="00477B57"/>
    <w:rsid w:val="004A0DA3"/>
    <w:rsid w:val="004B7F00"/>
    <w:rsid w:val="004F00D3"/>
    <w:rsid w:val="005464D3"/>
    <w:rsid w:val="005471A7"/>
    <w:rsid w:val="00562ECC"/>
    <w:rsid w:val="005817E5"/>
    <w:rsid w:val="005950BF"/>
    <w:rsid w:val="005A7E7F"/>
    <w:rsid w:val="00603440"/>
    <w:rsid w:val="006132F1"/>
    <w:rsid w:val="00613C15"/>
    <w:rsid w:val="00631392"/>
    <w:rsid w:val="00631752"/>
    <w:rsid w:val="00650C18"/>
    <w:rsid w:val="00677E14"/>
    <w:rsid w:val="00680FE3"/>
    <w:rsid w:val="006A3528"/>
    <w:rsid w:val="006B1488"/>
    <w:rsid w:val="006E4543"/>
    <w:rsid w:val="006F1306"/>
    <w:rsid w:val="006F23A8"/>
    <w:rsid w:val="006F5134"/>
    <w:rsid w:val="0070112C"/>
    <w:rsid w:val="007018AA"/>
    <w:rsid w:val="00706512"/>
    <w:rsid w:val="00746568"/>
    <w:rsid w:val="00750B2E"/>
    <w:rsid w:val="0077076B"/>
    <w:rsid w:val="00782CC1"/>
    <w:rsid w:val="00796C1F"/>
    <w:rsid w:val="00797428"/>
    <w:rsid w:val="007B1E02"/>
    <w:rsid w:val="007B3980"/>
    <w:rsid w:val="007C027A"/>
    <w:rsid w:val="007E09E3"/>
    <w:rsid w:val="007E6463"/>
    <w:rsid w:val="007F008F"/>
    <w:rsid w:val="007F1BB9"/>
    <w:rsid w:val="00803EE4"/>
    <w:rsid w:val="00804758"/>
    <w:rsid w:val="00807624"/>
    <w:rsid w:val="0081319F"/>
    <w:rsid w:val="0081740C"/>
    <w:rsid w:val="008260C4"/>
    <w:rsid w:val="00826357"/>
    <w:rsid w:val="008518E2"/>
    <w:rsid w:val="00856478"/>
    <w:rsid w:val="008667DB"/>
    <w:rsid w:val="00867452"/>
    <w:rsid w:val="00891297"/>
    <w:rsid w:val="00891404"/>
    <w:rsid w:val="008E3BE7"/>
    <w:rsid w:val="00924DE9"/>
    <w:rsid w:val="00930A4D"/>
    <w:rsid w:val="00942248"/>
    <w:rsid w:val="009879B2"/>
    <w:rsid w:val="00991593"/>
    <w:rsid w:val="00997339"/>
    <w:rsid w:val="009B7A0B"/>
    <w:rsid w:val="009C6708"/>
    <w:rsid w:val="009D040E"/>
    <w:rsid w:val="009D63AE"/>
    <w:rsid w:val="009E1643"/>
    <w:rsid w:val="009F1AA4"/>
    <w:rsid w:val="00A54AC8"/>
    <w:rsid w:val="00A71679"/>
    <w:rsid w:val="00A84D3D"/>
    <w:rsid w:val="00A91AE3"/>
    <w:rsid w:val="00AA492A"/>
    <w:rsid w:val="00AA5C73"/>
    <w:rsid w:val="00AE7AA0"/>
    <w:rsid w:val="00B15264"/>
    <w:rsid w:val="00B152E0"/>
    <w:rsid w:val="00B21043"/>
    <w:rsid w:val="00B216E0"/>
    <w:rsid w:val="00B30171"/>
    <w:rsid w:val="00B65595"/>
    <w:rsid w:val="00B667DC"/>
    <w:rsid w:val="00BA3CA2"/>
    <w:rsid w:val="00C02BD0"/>
    <w:rsid w:val="00C0566D"/>
    <w:rsid w:val="00C07DAA"/>
    <w:rsid w:val="00C109D2"/>
    <w:rsid w:val="00C15DE7"/>
    <w:rsid w:val="00C175F6"/>
    <w:rsid w:val="00C32428"/>
    <w:rsid w:val="00C44377"/>
    <w:rsid w:val="00C44652"/>
    <w:rsid w:val="00C501BD"/>
    <w:rsid w:val="00C97E85"/>
    <w:rsid w:val="00CA423C"/>
    <w:rsid w:val="00CB78D6"/>
    <w:rsid w:val="00CC2E21"/>
    <w:rsid w:val="00CD0655"/>
    <w:rsid w:val="00CD181A"/>
    <w:rsid w:val="00CE3201"/>
    <w:rsid w:val="00CE4B75"/>
    <w:rsid w:val="00CF4815"/>
    <w:rsid w:val="00D20BEA"/>
    <w:rsid w:val="00D40A7D"/>
    <w:rsid w:val="00D71BF8"/>
    <w:rsid w:val="00D73BB2"/>
    <w:rsid w:val="00DD6D6E"/>
    <w:rsid w:val="00DF18F8"/>
    <w:rsid w:val="00DF32CB"/>
    <w:rsid w:val="00E049A7"/>
    <w:rsid w:val="00E1449C"/>
    <w:rsid w:val="00E27EED"/>
    <w:rsid w:val="00E71425"/>
    <w:rsid w:val="00E82EB9"/>
    <w:rsid w:val="00E9254B"/>
    <w:rsid w:val="00E93487"/>
    <w:rsid w:val="00EA76C8"/>
    <w:rsid w:val="00EB036B"/>
    <w:rsid w:val="00EF5707"/>
    <w:rsid w:val="00F176FA"/>
    <w:rsid w:val="00F32D2B"/>
    <w:rsid w:val="00F61EDF"/>
    <w:rsid w:val="00F624B9"/>
    <w:rsid w:val="00F90BDA"/>
    <w:rsid w:val="00FB33F3"/>
    <w:rsid w:val="00FC4380"/>
    <w:rsid w:val="00FC4C41"/>
    <w:rsid w:val="00FD7E3D"/>
    <w:rsid w:val="00FF2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Textonotapie">
    <w:name w:val="footnote text"/>
    <w:basedOn w:val="Normal"/>
    <w:link w:val="TextonotapieCar"/>
    <w:uiPriority w:val="99"/>
    <w:semiHidden/>
    <w:unhideWhenUsed/>
    <w:rsid w:val="00142A2F"/>
    <w:pPr>
      <w:spacing w:after="0" w:line="240" w:lineRule="auto"/>
    </w:pPr>
    <w:rPr>
      <w:sz w:val="24"/>
      <w:szCs w:val="24"/>
    </w:rPr>
  </w:style>
  <w:style w:type="character" w:customStyle="1" w:styleId="TextonotapieCar">
    <w:name w:val="Texto nota pie Car"/>
    <w:basedOn w:val="Fuentedeprrafopredeter"/>
    <w:link w:val="Textonotapie"/>
    <w:uiPriority w:val="99"/>
    <w:semiHidden/>
    <w:rsid w:val="00142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jacoahuila.org/assets/sefin.-colaboraci%c3%b3n-para-pago-de-n%c3%b3minas.pdf" TargetMode="External"/><Relationship Id="rId3" Type="http://schemas.openxmlformats.org/officeDocument/2006/relationships/settings" Target="settings.xml"/><Relationship Id="rId7" Type="http://schemas.openxmlformats.org/officeDocument/2006/relationships/hyperlink" Target="http://www.coahuilatransparente.gob.mx/BD/EstadoqueGuardanlasPensiones/IPPTSEPensiones1132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2</cp:revision>
  <cp:lastPrinted>2023-02-27T15:48:00Z</cp:lastPrinted>
  <dcterms:created xsi:type="dcterms:W3CDTF">2024-04-09T17:13:00Z</dcterms:created>
  <dcterms:modified xsi:type="dcterms:W3CDTF">2024-04-09T17:13:00Z</dcterms:modified>
</cp:coreProperties>
</file>