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E136D"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 xml:space="preserve">Artículo 21 de la Ley de Acceso a la Información Pública </w:t>
      </w:r>
    </w:p>
    <w:p w14:paraId="727BF192"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para el Estado de Coahuila</w:t>
      </w:r>
    </w:p>
    <w:p w14:paraId="17EF57FE" w14:textId="77777777" w:rsidR="00B948A0" w:rsidRPr="001B79FE" w:rsidRDefault="00B948A0" w:rsidP="00B948A0">
      <w:pPr>
        <w:spacing w:after="0" w:line="360" w:lineRule="auto"/>
        <w:jc w:val="center"/>
        <w:rPr>
          <w:rFonts w:ascii="Avenir Next LT Pro Light" w:hAnsi="Avenir Next LT Pro Light"/>
          <w:sz w:val="24"/>
          <w:szCs w:val="24"/>
        </w:rPr>
      </w:pPr>
    </w:p>
    <w:p w14:paraId="6BCCC7C4" w14:textId="0C0BCA86"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b/>
          <w:sz w:val="24"/>
          <w:szCs w:val="24"/>
        </w:rPr>
        <w:t>Fracción XII.-</w:t>
      </w:r>
      <w:r w:rsidRPr="001B79FE">
        <w:rPr>
          <w:rFonts w:ascii="Avenir Next LT Pro Light" w:hAnsi="Avenir Next LT Pro Light"/>
          <w:sz w:val="24"/>
          <w:szCs w:val="24"/>
        </w:rPr>
        <w:t xml:space="preserve"> Un listado con los servicios que ofrece, que incluya los trámites, tiempos de respuesta, requisitos, objetivo y formatos para acceder a ellos, así como información sobre la población o sector a quien vayan dirigidos;</w:t>
      </w:r>
    </w:p>
    <w:p w14:paraId="3B652416" w14:textId="77777777" w:rsidR="00B948A0" w:rsidRPr="001B79FE" w:rsidRDefault="00B948A0" w:rsidP="00B948A0">
      <w:pPr>
        <w:spacing w:after="0" w:line="360" w:lineRule="auto"/>
        <w:jc w:val="both"/>
        <w:rPr>
          <w:rFonts w:ascii="Avenir Next LT Pro Light" w:hAnsi="Avenir Next LT Pro Light"/>
          <w:sz w:val="24"/>
          <w:szCs w:val="24"/>
        </w:rPr>
      </w:pPr>
    </w:p>
    <w:p w14:paraId="2A189A5F"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Servicios</w:t>
      </w:r>
    </w:p>
    <w:p w14:paraId="0CE70535" w14:textId="77777777" w:rsidR="00B948A0" w:rsidRPr="001B79FE" w:rsidRDefault="00B948A0" w:rsidP="00B948A0">
      <w:pPr>
        <w:spacing w:after="0" w:line="240" w:lineRule="auto"/>
        <w:jc w:val="center"/>
        <w:rPr>
          <w:rFonts w:ascii="Avenir Next LT Pro Light" w:hAnsi="Avenir Next LT Pro Light"/>
          <w:b/>
          <w:sz w:val="24"/>
          <w:szCs w:val="24"/>
        </w:rPr>
      </w:pPr>
    </w:p>
    <w:p w14:paraId="15BF7BCD"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Se le informa que el Tribunal de Justicia Administrativa de Coahuila de Zaragoza, según lo establecido en el artículo 168-A de la Constitución Política del Estado de Coahuila de Zaragoza es el órgano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6DFD2E21" w14:textId="77777777" w:rsidR="00B948A0" w:rsidRPr="001B79FE" w:rsidRDefault="00B948A0" w:rsidP="00B948A0">
      <w:pPr>
        <w:spacing w:after="0" w:line="240" w:lineRule="auto"/>
        <w:jc w:val="both"/>
        <w:rPr>
          <w:rFonts w:ascii="Avenir Next LT Pro Light" w:hAnsi="Avenir Next LT Pro Light"/>
          <w:sz w:val="24"/>
          <w:szCs w:val="24"/>
        </w:rPr>
      </w:pPr>
    </w:p>
    <w:p w14:paraId="24DF8CD8"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Según los artículos 3 y 4 de la Ley Orgánica del Tribunal de Justicia Administrativa de Coahuila de Zaragoza corresponde al Tribunal de Justicia Administrativa de Coahuila de Zaragoza, conocer y resolver lo siguiente:</w:t>
      </w:r>
    </w:p>
    <w:p w14:paraId="2F2B00D4"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p>
    <w:p w14:paraId="5F134654" w14:textId="7ED0DD16"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Los decretos y acuerdos de carácter general diversos a los reglamentos, cuando sean autoaplicativos o cuando el interesado los controvierta con motivo de su primer acto de aplicación;</w:t>
      </w:r>
    </w:p>
    <w:p w14:paraId="55B0F041" w14:textId="0395F9ED"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lastRenderedPageBreak/>
        <w:t xml:space="preserve">Las dictadas por autoridades fiscales estatales y organismos fiscales autónomos </w:t>
      </w:r>
      <w:r w:rsidRPr="001B79FE">
        <w:rPr>
          <w:rFonts w:ascii="Avenir Next LT Pro Light" w:hAnsi="Avenir Next LT Pro Light" w:cs="Arial"/>
          <w:sz w:val="24"/>
          <w:szCs w:val="24"/>
        </w:rPr>
        <w:t xml:space="preserve">estatales </w:t>
      </w:r>
      <w:r w:rsidRPr="001B79FE">
        <w:rPr>
          <w:rFonts w:ascii="Avenir Next LT Pro Light" w:hAnsi="Avenir Next LT Pro Light" w:cs="Arial"/>
          <w:sz w:val="24"/>
          <w:szCs w:val="24"/>
          <w:lang w:val="es-ES"/>
        </w:rPr>
        <w:t>y municipales en que se determine la existencia de una obligación fiscal, se fije en cantidad líquida o se den las bases para su liquidación;</w:t>
      </w:r>
    </w:p>
    <w:p w14:paraId="47801744" w14:textId="6E724387"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nieguen la devolución de un ingreso de los regulados por el Código Fiscal para el Estado de Coahuila de Zaragoza, indebidamente percibido por el Estado o cuya devolución proceda de conformidad con las leyes fiscales;</w:t>
      </w:r>
    </w:p>
    <w:p w14:paraId="1809653F" w14:textId="77777777"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impongan multas por infracción a las normas administrativas estatales y municipales;</w:t>
      </w:r>
    </w:p>
    <w:p w14:paraId="65C83E72" w14:textId="3EAC3C2A"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causen un agravio en materia fiscal distinto al que se refieren las fracciones anteriores;</w:t>
      </w:r>
    </w:p>
    <w:p w14:paraId="6C37C4B3" w14:textId="61872EDD"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se dicten en materia de pensiones, sea con cargo al erario estatal o al Instituto de Pensiones para los Trabajadores al Servicio del Estado de Coahuila de Zaragoza, la Dirección de Pensiones para los Trabajadores de la Educación o los organismos públicos descentralizados para la administración de las pensiones de los servidores públicos municipales o a la Dirección de Pensiones para los Trabajadores de la Educación;</w:t>
      </w:r>
    </w:p>
    <w:p w14:paraId="4022E25A" w14:textId="5966EEC6"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se originen por fallos en licitaciones públicas y la interpretación y cumplimiento de contratos públicos, de obra pública, de adquisiciones, de arrendamientos y de servicios celebrados por las dependencias y entidades de la administración pública estatal o municipal, ya sea centralizada, paraestatal y paramunicipal, así como las que estén bajo responsabilidad de los entes públicos estatales y municipales;</w:t>
      </w:r>
    </w:p>
    <w:p w14:paraId="170D256F" w14:textId="6122E42F"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que nieguen la indemnización por responsabilidad patrimonial del Estado, declaren improcedente su reclamación o cuando habiéndola otorgado no satisfaga al reclamante. También, las </w:t>
      </w:r>
      <w:proofErr w:type="gramStart"/>
      <w:r w:rsidRPr="001B79FE">
        <w:rPr>
          <w:rFonts w:ascii="Avenir Next LT Pro Light" w:hAnsi="Avenir Next LT Pro Light" w:cs="Arial"/>
          <w:sz w:val="24"/>
          <w:szCs w:val="24"/>
          <w:lang w:val="es-ES"/>
        </w:rPr>
        <w:t>que</w:t>
      </w:r>
      <w:proofErr w:type="gramEnd"/>
      <w:r w:rsidRPr="001B79FE">
        <w:rPr>
          <w:rFonts w:ascii="Avenir Next LT Pro Light" w:hAnsi="Avenir Next LT Pro Light" w:cs="Arial"/>
          <w:sz w:val="24"/>
          <w:szCs w:val="24"/>
          <w:lang w:val="es-ES"/>
        </w:rPr>
        <w:t xml:space="preserve"> por repetición, </w:t>
      </w:r>
      <w:r w:rsidRPr="001B79FE">
        <w:rPr>
          <w:rFonts w:ascii="Avenir Next LT Pro Light" w:hAnsi="Avenir Next LT Pro Light" w:cs="Arial"/>
          <w:sz w:val="24"/>
          <w:szCs w:val="24"/>
          <w:lang w:val="es-ES"/>
        </w:rPr>
        <w:lastRenderedPageBreak/>
        <w:t>impongan la obligación a los servidores públicos de resarcir al Estado el pago correspondiente a la indemnización, en los términos de la ley de la materia;</w:t>
      </w:r>
    </w:p>
    <w:p w14:paraId="3BDD2C90" w14:textId="348D76A9"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requieran el pago de garantías a favor del Estado o de sus municipios, así como de sus entidades paraestatales o paramunicipales;</w:t>
      </w:r>
    </w:p>
    <w:p w14:paraId="2FD5B9CF" w14:textId="2B82EC23"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dictadas por las autoridades administrativas que pongan fin a un procedimiento administrativo, a una instancia o resuelvan un expediente, en los términos de las leyes aplicables; </w:t>
      </w:r>
    </w:p>
    <w:p w14:paraId="5A1FF076" w14:textId="52689D64"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resuelvan los recursos administrativos en contra de las resoluciones que se indican en las demás fracciones de este artículo;</w:t>
      </w:r>
    </w:p>
    <w:p w14:paraId="67D7A536" w14:textId="3B93E974"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se configuren por negativa ficta en las materias señaladas en este artículo, por el transcurso del plazo que señalen el Código Fiscal para el Estado de Coahuila de Zaragoza,</w:t>
      </w:r>
      <w:r w:rsidRPr="001B79FE">
        <w:rPr>
          <w:rFonts w:ascii="Avenir Next LT Pro Light" w:hAnsi="Avenir Next LT Pro Light" w:cs="Arial"/>
          <w:b/>
          <w:sz w:val="24"/>
          <w:szCs w:val="24"/>
          <w:lang w:val="es-ES"/>
        </w:rPr>
        <w:t xml:space="preserve"> </w:t>
      </w:r>
      <w:r w:rsidRPr="001B79FE">
        <w:rPr>
          <w:rFonts w:ascii="Avenir Next LT Pro Light" w:hAnsi="Avenir Next LT Pro Light" w:cs="Arial"/>
          <w:sz w:val="24"/>
          <w:szCs w:val="24"/>
          <w:lang w:val="es-ES"/>
        </w:rPr>
        <w:t>la Ley de Procedimiento Administrativo del Estado de Coahuila de Zaragoza,</w:t>
      </w:r>
      <w:r w:rsidRPr="001B79FE">
        <w:rPr>
          <w:rFonts w:ascii="Avenir Next LT Pro Light" w:hAnsi="Avenir Next LT Pro Light" w:cs="Arial"/>
          <w:b/>
          <w:sz w:val="24"/>
          <w:szCs w:val="24"/>
          <w:lang w:val="es-ES"/>
        </w:rPr>
        <w:t xml:space="preserve"> </w:t>
      </w:r>
      <w:r w:rsidRPr="001B79FE">
        <w:rPr>
          <w:rFonts w:ascii="Avenir Next LT Pro Light" w:hAnsi="Avenir Next LT Pro Light" w:cs="Arial"/>
          <w:sz w:val="24"/>
          <w:szCs w:val="24"/>
          <w:lang w:val="es-ES"/>
        </w:rPr>
        <w:t>y demás disposiciones aplicables, así como las que nieguen la expedición de la constancia de haberse configurado la resolución positiva ficta, cuando ésta se encuentre prevista por la ley que rija a dichas materias.</w:t>
      </w:r>
    </w:p>
    <w:p w14:paraId="6ADCF7E8" w14:textId="346FCE19" w:rsidR="00B948A0" w:rsidRPr="001B79FE" w:rsidRDefault="00B948A0" w:rsidP="00B948A0">
      <w:pPr>
        <w:spacing w:after="0" w:line="360" w:lineRule="auto"/>
        <w:ind w:left="851"/>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No será aplicable lo dispuesto en el párrafo anterior en todos aquellos casos en los que se pudiere afectar el derecho de un tercero, reconocido en un registro o anotación ante autoridad administrativa;</w:t>
      </w:r>
    </w:p>
    <w:p w14:paraId="65030E73" w14:textId="6F85C9D5"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resoluciones definitivas por las que se impongan sanciones administrativas a los servidores públicos estatales, municipales y de los organismos públicos autónomos, en términos de la legislación aplicable, así como contra las que decidan los recursos administrativos previstos en dichos ordenamientos; </w:t>
      </w:r>
    </w:p>
    <w:p w14:paraId="6F22BB9C" w14:textId="03226D0E"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lastRenderedPageBreak/>
        <w:t>Las resoluciones de la Contraloría Interna del Instituto Electoral de Coahuila que impongan sanciones por faltas administrativas no graves, en términos de las disposiciones aplicables;</w:t>
      </w:r>
    </w:p>
    <w:p w14:paraId="48AB798A" w14:textId="431232A3"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sanciones y demás resoluciones emitidas por la Auditoría Superior del Estado, en términos de la Ley General de Responsabilidades Administrativas y la Ley de Rendición de Cuentas y Fiscalización Superior del Estado de Coahuila de Zaragoza;</w:t>
      </w:r>
    </w:p>
    <w:p w14:paraId="756278B3" w14:textId="77777777" w:rsidR="00B948A0" w:rsidRPr="001B79FE" w:rsidRDefault="00B948A0" w:rsidP="00B948A0">
      <w:pPr>
        <w:numPr>
          <w:ilvl w:val="0"/>
          <w:numId w:val="3"/>
        </w:numPr>
        <w:tabs>
          <w:tab w:val="left" w:pos="851"/>
        </w:tabs>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señaladas en esta y otras leyes como competencia del Tribunal.</w:t>
      </w:r>
    </w:p>
    <w:p w14:paraId="5DBD5580" w14:textId="77777777" w:rsidR="00B948A0" w:rsidRPr="001B79FE" w:rsidRDefault="00B948A0" w:rsidP="00B948A0">
      <w:pPr>
        <w:spacing w:after="0" w:line="360" w:lineRule="auto"/>
        <w:ind w:left="709" w:hanging="425"/>
        <w:jc w:val="both"/>
        <w:rPr>
          <w:rFonts w:ascii="Avenir Next LT Pro Light" w:hAnsi="Avenir Next LT Pro Light" w:cs="Arial"/>
          <w:sz w:val="24"/>
          <w:szCs w:val="24"/>
          <w:lang w:val="es-ES"/>
        </w:rPr>
      </w:pPr>
    </w:p>
    <w:p w14:paraId="4385EDAF"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Para los efectos del primer párrafo de este artículo, las resoluciones se considerarán definitivas cuando no admitan recurso administrativo o cuando la interposición de éste sea optativa.</w:t>
      </w:r>
    </w:p>
    <w:p w14:paraId="03FC38C8"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El Tribunal conocerá también de los juicios que promuevan las autoridades para que sean anuladas las resoluciones administrativas favorables a un particular, cuando se consideren contrarias a la ley.</w:t>
      </w:r>
    </w:p>
    <w:p w14:paraId="0B402D31" w14:textId="77777777" w:rsidR="00B948A0" w:rsidRPr="001B79FE" w:rsidRDefault="00B948A0" w:rsidP="00B948A0">
      <w:pPr>
        <w:spacing w:after="0" w:line="360" w:lineRule="auto"/>
        <w:jc w:val="both"/>
        <w:rPr>
          <w:rFonts w:ascii="Avenir Next LT Pro Light" w:hAnsi="Avenir Next LT Pro Light" w:cs="Arial"/>
          <w:b/>
          <w:sz w:val="24"/>
          <w:szCs w:val="24"/>
          <w:lang w:val="es-ES"/>
        </w:rPr>
      </w:pPr>
    </w:p>
    <w:p w14:paraId="6C15EE0F"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r w:rsidRPr="001B79FE">
        <w:rPr>
          <w:rFonts w:ascii="Avenir Next LT Pro Light" w:hAnsi="Avenir Next LT Pro Light" w:cs="Arial"/>
          <w:b/>
          <w:sz w:val="24"/>
          <w:szCs w:val="24"/>
          <w:lang w:val="es-ES"/>
        </w:rPr>
        <w:t xml:space="preserve">Artículo 4. </w:t>
      </w:r>
      <w:r w:rsidRPr="001B79FE">
        <w:rPr>
          <w:rFonts w:ascii="Avenir Next LT Pro Light" w:hAnsi="Avenir Next LT Pro Light" w:cs="Arial"/>
          <w:sz w:val="24"/>
          <w:szCs w:val="24"/>
          <w:lang w:val="es-ES"/>
        </w:rPr>
        <w:t xml:space="preserve">El Tribunal conocerá de las responsabilidades administrativas de los servidores públicos y particulares vinculados con faltas graves promovidas por la Secretaría de Fiscalización y Rendición de Cuentas, los órganos internos de control de los entes públicos estatales, municipales y de los organismos públicos autónomos, o por la Auditoría Superior del Estado, para la imposición de sanciones en términos de lo dispuesto por la </w:t>
      </w:r>
      <w:r w:rsidRPr="001B79FE">
        <w:rPr>
          <w:rFonts w:ascii="Avenir Next LT Pro Light" w:hAnsi="Avenir Next LT Pro Light" w:cs="Arial"/>
          <w:sz w:val="24"/>
          <w:szCs w:val="24"/>
        </w:rPr>
        <w:t>Ley General de Responsabilidades Administrativas</w:t>
      </w:r>
      <w:r w:rsidRPr="001B79FE">
        <w:rPr>
          <w:rFonts w:ascii="Avenir Next LT Pro Light" w:hAnsi="Avenir Next LT Pro Light" w:cs="Arial"/>
          <w:sz w:val="24"/>
          <w:szCs w:val="24"/>
          <w:lang w:val="es-ES"/>
        </w:rPr>
        <w:t>. Asimismo, será competente para fincar a los responsables el pago de las indemnizaciones y sanciones pecuniarias que deriven de los daños y perjuicios que afecten a la hacienda pública estatal o municipal, o al patrimonio de los entes públicos estatales o municipales, así como de los organismos públicos autónomos.</w:t>
      </w:r>
    </w:p>
    <w:p w14:paraId="205A9B47"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proofErr w:type="gramStart"/>
      <w:r w:rsidRPr="001B79FE">
        <w:rPr>
          <w:rFonts w:ascii="Avenir Next LT Pro Light" w:hAnsi="Avenir Next LT Pro Light" w:cs="Arial"/>
          <w:sz w:val="24"/>
          <w:szCs w:val="24"/>
          <w:lang w:val="es-ES"/>
        </w:rPr>
        <w:lastRenderedPageBreak/>
        <w:t>Bajo ninguna circunstancia</w:t>
      </w:r>
      <w:proofErr w:type="gramEnd"/>
      <w:r w:rsidRPr="001B79FE">
        <w:rPr>
          <w:rFonts w:ascii="Avenir Next LT Pro Light" w:hAnsi="Avenir Next LT Pro Light" w:cs="Arial"/>
          <w:sz w:val="24"/>
          <w:szCs w:val="24"/>
          <w:lang w:val="es-ES"/>
        </w:rPr>
        <w:t xml:space="preserve">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14:paraId="47DA6261"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p>
    <w:p w14:paraId="1FFCFB5B"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Tiempos de respuesta</w:t>
      </w:r>
    </w:p>
    <w:p w14:paraId="47439CE9" w14:textId="77777777" w:rsidR="00B948A0" w:rsidRPr="001B79FE" w:rsidRDefault="00B948A0" w:rsidP="00B948A0">
      <w:pPr>
        <w:spacing w:after="0" w:line="360" w:lineRule="auto"/>
        <w:jc w:val="center"/>
        <w:rPr>
          <w:rFonts w:ascii="Avenir Next LT Pro Light" w:hAnsi="Avenir Next LT Pro Light"/>
          <w:b/>
          <w:sz w:val="24"/>
          <w:szCs w:val="24"/>
        </w:rPr>
      </w:pPr>
    </w:p>
    <w:p w14:paraId="07E78218" w14:textId="77777777" w:rsidR="00B948A0" w:rsidRPr="001B79FE" w:rsidRDefault="00B948A0" w:rsidP="00B948A0">
      <w:pPr>
        <w:spacing w:after="0" w:line="360" w:lineRule="auto"/>
        <w:rPr>
          <w:rFonts w:ascii="Avenir Next LT Pro Light" w:hAnsi="Avenir Next LT Pro Light"/>
          <w:bCs/>
          <w:sz w:val="24"/>
          <w:szCs w:val="24"/>
        </w:rPr>
      </w:pPr>
      <w:r w:rsidRPr="001B79FE">
        <w:rPr>
          <w:rFonts w:ascii="Avenir Next LT Pro Light" w:hAnsi="Avenir Next LT Pro Light"/>
          <w:bCs/>
          <w:sz w:val="24"/>
          <w:szCs w:val="24"/>
        </w:rPr>
        <w:t>Atiende al cumplimiento de términos y plazos previstos en la norma jurídica aplicable, por lo que no se puede establecer un tiempo estandarizado.</w:t>
      </w:r>
    </w:p>
    <w:p w14:paraId="57769853" w14:textId="77777777" w:rsidR="00B948A0" w:rsidRPr="001B79FE" w:rsidRDefault="00B948A0" w:rsidP="00B948A0">
      <w:pPr>
        <w:spacing w:after="0" w:line="360" w:lineRule="auto"/>
        <w:rPr>
          <w:rFonts w:ascii="Avenir Next LT Pro Light" w:hAnsi="Avenir Next LT Pro Light"/>
          <w:bCs/>
          <w:sz w:val="24"/>
          <w:szCs w:val="24"/>
        </w:rPr>
      </w:pPr>
    </w:p>
    <w:p w14:paraId="7BBE9E89"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Requisitos</w:t>
      </w:r>
    </w:p>
    <w:p w14:paraId="5AD4EDAC" w14:textId="77777777" w:rsidR="00B948A0" w:rsidRPr="001B79FE" w:rsidRDefault="00B948A0" w:rsidP="00B948A0">
      <w:pPr>
        <w:spacing w:after="0" w:line="240" w:lineRule="auto"/>
        <w:rPr>
          <w:rFonts w:ascii="Avenir Next LT Pro Light" w:hAnsi="Avenir Next LT Pro Light"/>
          <w:sz w:val="24"/>
          <w:szCs w:val="24"/>
        </w:rPr>
      </w:pPr>
    </w:p>
    <w:p w14:paraId="35AEBBB9"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Cumplimiento a las formalidades esenciales del procedimiento analizadas en cada caso concreto.</w:t>
      </w:r>
    </w:p>
    <w:p w14:paraId="0B6472B0" w14:textId="77777777" w:rsidR="00B948A0" w:rsidRPr="001B79FE" w:rsidRDefault="00B948A0" w:rsidP="00B948A0">
      <w:pPr>
        <w:spacing w:after="0" w:line="240" w:lineRule="auto"/>
        <w:rPr>
          <w:rFonts w:ascii="Avenir Next LT Pro Light" w:hAnsi="Avenir Next LT Pro Light"/>
          <w:sz w:val="24"/>
          <w:szCs w:val="24"/>
        </w:rPr>
      </w:pPr>
    </w:p>
    <w:p w14:paraId="2790928B"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El Tribunal de Justicia Administrativa de Coahuila de Zaragoza es un órgano jurisdiccional encargado de dictar sentencias o resoluciones sobre asuntos presentados para conocimiento por partes con legitimación procesal para ello, el análisis del cumplimiento de los requisitos de Ley se realiza según el caso en concreto y a lo establecido en la Ley del Procedimiento Contencioso Administrativo para el Estado de Coahuila, la Ley Orgánica del Tribunal de Justicia Administrativa de Coahuila de Zaragoza y demás legislación, normatividad y criterios aplicables en la materia.</w:t>
      </w:r>
    </w:p>
    <w:p w14:paraId="7052B8B5" w14:textId="77777777" w:rsidR="00B948A0" w:rsidRPr="001B79FE" w:rsidRDefault="00B948A0" w:rsidP="00B948A0">
      <w:pPr>
        <w:spacing w:after="0" w:line="360" w:lineRule="auto"/>
        <w:jc w:val="center"/>
        <w:rPr>
          <w:rFonts w:ascii="Avenir Next LT Pro Light" w:hAnsi="Avenir Next LT Pro Light"/>
          <w:b/>
          <w:sz w:val="24"/>
          <w:szCs w:val="24"/>
        </w:rPr>
      </w:pPr>
    </w:p>
    <w:p w14:paraId="1D71F7AA" w14:textId="77777777" w:rsidR="00DA17D2" w:rsidRDefault="00DA17D2" w:rsidP="00B948A0">
      <w:pPr>
        <w:spacing w:after="0" w:line="360" w:lineRule="auto"/>
        <w:jc w:val="center"/>
        <w:rPr>
          <w:rFonts w:ascii="Avenir Next LT Pro Light" w:hAnsi="Avenir Next LT Pro Light"/>
          <w:b/>
          <w:sz w:val="24"/>
          <w:szCs w:val="24"/>
        </w:rPr>
      </w:pPr>
    </w:p>
    <w:p w14:paraId="2F88FFAD" w14:textId="77777777" w:rsidR="00DA17D2" w:rsidRDefault="00DA17D2" w:rsidP="00B948A0">
      <w:pPr>
        <w:spacing w:after="0" w:line="360" w:lineRule="auto"/>
        <w:jc w:val="center"/>
        <w:rPr>
          <w:rFonts w:ascii="Avenir Next LT Pro Light" w:hAnsi="Avenir Next LT Pro Light"/>
          <w:b/>
          <w:sz w:val="24"/>
          <w:szCs w:val="24"/>
        </w:rPr>
      </w:pPr>
    </w:p>
    <w:p w14:paraId="6CFC4A14" w14:textId="77777777" w:rsidR="00DA17D2" w:rsidRDefault="00DA17D2" w:rsidP="00B948A0">
      <w:pPr>
        <w:spacing w:after="0" w:line="360" w:lineRule="auto"/>
        <w:jc w:val="center"/>
        <w:rPr>
          <w:rFonts w:ascii="Avenir Next LT Pro Light" w:hAnsi="Avenir Next LT Pro Light"/>
          <w:b/>
          <w:sz w:val="24"/>
          <w:szCs w:val="24"/>
        </w:rPr>
      </w:pPr>
    </w:p>
    <w:p w14:paraId="3084EC45" w14:textId="35C54BDE"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lastRenderedPageBreak/>
        <w:t>Formatos</w:t>
      </w:r>
    </w:p>
    <w:p w14:paraId="7668D7EC" w14:textId="77777777" w:rsidR="00B948A0" w:rsidRPr="001B79FE" w:rsidRDefault="00B948A0" w:rsidP="00B948A0">
      <w:pPr>
        <w:spacing w:after="0" w:line="240" w:lineRule="auto"/>
        <w:jc w:val="both"/>
        <w:rPr>
          <w:rFonts w:ascii="Avenir Next LT Pro Light" w:hAnsi="Avenir Next LT Pro Light"/>
          <w:sz w:val="24"/>
          <w:szCs w:val="24"/>
        </w:rPr>
      </w:pPr>
    </w:p>
    <w:p w14:paraId="2F30762A"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No existe formato preestablecido establecido en Ley como requisito para acceder a los servicios de administración de justicia.</w:t>
      </w:r>
    </w:p>
    <w:p w14:paraId="713205CB" w14:textId="77777777" w:rsidR="00B948A0" w:rsidRPr="001B79FE" w:rsidRDefault="00B948A0" w:rsidP="00B948A0">
      <w:pPr>
        <w:spacing w:after="0" w:line="240" w:lineRule="auto"/>
        <w:rPr>
          <w:rFonts w:ascii="Avenir Next LT Pro Light" w:hAnsi="Avenir Next LT Pro Light"/>
          <w:b/>
          <w:sz w:val="24"/>
          <w:szCs w:val="24"/>
        </w:rPr>
      </w:pPr>
    </w:p>
    <w:p w14:paraId="2715231A" w14:textId="77777777" w:rsidR="00B948A0" w:rsidRPr="001B79FE" w:rsidRDefault="00B948A0" w:rsidP="00B948A0">
      <w:pPr>
        <w:spacing w:line="360" w:lineRule="auto"/>
        <w:rPr>
          <w:rFonts w:ascii="Avenir Next LT Pro Light" w:hAnsi="Avenir Next LT Pro Light"/>
          <w:b/>
          <w:sz w:val="24"/>
          <w:szCs w:val="24"/>
        </w:rPr>
      </w:pPr>
      <w:r w:rsidRPr="001B79FE">
        <w:rPr>
          <w:rFonts w:ascii="Avenir Next LT Pro Light" w:hAnsi="Avenir Next LT Pro Light"/>
          <w:b/>
          <w:sz w:val="24"/>
          <w:szCs w:val="24"/>
        </w:rPr>
        <w:t>Información sobre la población o sector a quien vayan dirigidos</w:t>
      </w:r>
    </w:p>
    <w:p w14:paraId="70F054B7" w14:textId="77777777" w:rsidR="00B948A0" w:rsidRPr="001B79FE" w:rsidRDefault="00B948A0" w:rsidP="00B948A0">
      <w:pPr>
        <w:spacing w:line="360" w:lineRule="auto"/>
        <w:rPr>
          <w:rFonts w:ascii="Avenir Next LT Pro Light" w:hAnsi="Avenir Next LT Pro Light"/>
          <w:sz w:val="24"/>
          <w:szCs w:val="24"/>
        </w:rPr>
      </w:pPr>
      <w:r w:rsidRPr="001B79FE">
        <w:rPr>
          <w:rFonts w:ascii="Avenir Next LT Pro Light" w:hAnsi="Avenir Next LT Pro Light"/>
          <w:sz w:val="24"/>
          <w:szCs w:val="24"/>
        </w:rPr>
        <w:t>Ciudadanos/Servidores Públicos</w:t>
      </w:r>
    </w:p>
    <w:p w14:paraId="333F303D" w14:textId="77777777" w:rsidR="00B948A0" w:rsidRPr="001B79FE" w:rsidRDefault="00B948A0"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65AE8B7E" w14:textId="25B2D794" w:rsidR="00B948A0" w:rsidRDefault="00B948A0"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59051B69" w14:textId="33F97266" w:rsidR="00DA17D2" w:rsidRDefault="00DA17D2"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03A67213" w14:textId="77777777" w:rsidR="00DA17D2" w:rsidRPr="001B79FE" w:rsidRDefault="00DA17D2"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175E9970" w14:textId="77777777" w:rsidR="00B948A0" w:rsidRPr="001B79FE" w:rsidRDefault="00B948A0"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4EEEDA21" w14:textId="5F1E3FCA" w:rsidR="00B948A0" w:rsidRPr="003C37F2" w:rsidRDefault="00B948A0" w:rsidP="00B948A0">
      <w:pPr>
        <w:pStyle w:val="NormalWeb"/>
        <w:spacing w:before="0" w:beforeAutospacing="0" w:after="0" w:afterAutospacing="0" w:line="360" w:lineRule="auto"/>
        <w:rPr>
          <w:rFonts w:ascii="Avenir Next LT Pro Light" w:hAnsi="Avenir Next LT Pro Light"/>
          <w:lang w:val="es-ES"/>
        </w:rPr>
      </w:pPr>
      <w:r w:rsidRPr="001B79FE">
        <w:rPr>
          <w:rFonts w:ascii="Avenir Next LT Pro Light" w:hAnsi="Avenir Next LT Pro Light"/>
          <w:b/>
          <w:bCs/>
          <w:color w:val="000000"/>
          <w:sz w:val="22"/>
          <w:szCs w:val="22"/>
        </w:rPr>
        <w:t>Fecha de actualización:</w:t>
      </w:r>
      <w:r w:rsidRPr="001B79FE">
        <w:rPr>
          <w:rFonts w:ascii="Avenir Next LT Pro Light" w:hAnsi="Avenir Next LT Pro Light"/>
          <w:color w:val="000000"/>
          <w:sz w:val="22"/>
          <w:szCs w:val="22"/>
        </w:rPr>
        <w:t xml:space="preserve"> </w:t>
      </w:r>
      <w:r w:rsidR="00003A85">
        <w:rPr>
          <w:rFonts w:ascii="Avenir Next LT Pro Light" w:hAnsi="Avenir Next LT Pro Light"/>
          <w:lang w:val="es-ES"/>
        </w:rPr>
        <w:t>0</w:t>
      </w:r>
      <w:r w:rsidR="00001ED9">
        <w:rPr>
          <w:rFonts w:ascii="Avenir Next LT Pro Light" w:hAnsi="Avenir Next LT Pro Light"/>
          <w:lang w:val="es-ES"/>
        </w:rPr>
        <w:t>1</w:t>
      </w:r>
      <w:r w:rsidR="00003A85">
        <w:rPr>
          <w:rFonts w:ascii="Avenir Next LT Pro Light" w:hAnsi="Avenir Next LT Pro Light"/>
          <w:lang w:val="es-ES"/>
        </w:rPr>
        <w:t xml:space="preserve"> de </w:t>
      </w:r>
      <w:r w:rsidR="00001ED9">
        <w:rPr>
          <w:rFonts w:ascii="Avenir Next LT Pro Light" w:hAnsi="Avenir Next LT Pro Light"/>
          <w:lang w:val="es-ES"/>
        </w:rPr>
        <w:t>abril</w:t>
      </w:r>
      <w:r w:rsidR="00003A85">
        <w:rPr>
          <w:rFonts w:ascii="Avenir Next LT Pro Light" w:hAnsi="Avenir Next LT Pro Light"/>
          <w:lang w:val="es-ES"/>
        </w:rPr>
        <w:t xml:space="preserve"> de 202</w:t>
      </w:r>
      <w:r w:rsidR="00F96B26">
        <w:rPr>
          <w:rFonts w:ascii="Avenir Next LT Pro Light" w:hAnsi="Avenir Next LT Pro Light"/>
          <w:lang w:val="es-ES"/>
        </w:rPr>
        <w:t>5</w:t>
      </w:r>
    </w:p>
    <w:p w14:paraId="3C330253" w14:textId="77777777" w:rsidR="00B948A0" w:rsidRPr="001B79FE" w:rsidRDefault="00B948A0" w:rsidP="00B948A0">
      <w:pPr>
        <w:pStyle w:val="NormalWeb"/>
        <w:spacing w:before="0" w:beforeAutospacing="0" w:after="0" w:afterAutospacing="0" w:line="360" w:lineRule="auto"/>
        <w:rPr>
          <w:rFonts w:ascii="Avenir Next LT Pro Light" w:hAnsi="Avenir Next LT Pro Light"/>
          <w:sz w:val="22"/>
          <w:szCs w:val="22"/>
        </w:rPr>
      </w:pPr>
      <w:r w:rsidRPr="001B79FE">
        <w:rPr>
          <w:rFonts w:ascii="Avenir Next LT Pro Light" w:hAnsi="Avenir Next LT Pro Light"/>
          <w:b/>
          <w:bCs/>
          <w:color w:val="000000"/>
          <w:sz w:val="22"/>
          <w:szCs w:val="22"/>
        </w:rPr>
        <w:t>Elaborado por:</w:t>
      </w:r>
      <w:r w:rsidRPr="001B79FE">
        <w:rPr>
          <w:rFonts w:ascii="Avenir Next LT Pro Light" w:hAnsi="Avenir Next LT Pro Light"/>
          <w:color w:val="000000"/>
          <w:sz w:val="22"/>
          <w:szCs w:val="22"/>
        </w:rPr>
        <w:t xml:space="preserve"> Idelia Constanza Reyes Tamez</w:t>
      </w:r>
    </w:p>
    <w:p w14:paraId="0BECF7EE" w14:textId="77777777" w:rsidR="00B948A0" w:rsidRPr="001B79FE" w:rsidRDefault="00B948A0" w:rsidP="00B948A0">
      <w:pPr>
        <w:pStyle w:val="NormalWeb"/>
        <w:spacing w:before="0" w:beforeAutospacing="0" w:after="0" w:afterAutospacing="0" w:line="360" w:lineRule="auto"/>
        <w:rPr>
          <w:rFonts w:ascii="Avenir Next LT Pro Light" w:hAnsi="Avenir Next LT Pro Light"/>
          <w:sz w:val="22"/>
          <w:szCs w:val="22"/>
        </w:rPr>
      </w:pPr>
      <w:r w:rsidRPr="001B79FE">
        <w:rPr>
          <w:rFonts w:ascii="Avenir Next LT Pro Light" w:hAnsi="Avenir Next LT Pro Light"/>
          <w:b/>
          <w:bCs/>
          <w:color w:val="000000"/>
          <w:sz w:val="22"/>
          <w:szCs w:val="22"/>
        </w:rPr>
        <w:t>Unidad Administrativa:</w:t>
      </w:r>
      <w:r w:rsidRPr="001B79FE">
        <w:rPr>
          <w:rFonts w:ascii="Avenir Next LT Pro Light" w:hAnsi="Avenir Next LT Pro Light"/>
          <w:color w:val="000000"/>
          <w:sz w:val="22"/>
          <w:szCs w:val="22"/>
        </w:rPr>
        <w:t xml:space="preserve"> Secretaría General de Acuerdos</w:t>
      </w:r>
    </w:p>
    <w:p w14:paraId="1CF02DC5" w14:textId="5A4F451E" w:rsidR="00B948A0" w:rsidRPr="001B79FE" w:rsidRDefault="00B948A0" w:rsidP="00B948A0">
      <w:pPr>
        <w:pStyle w:val="NormalWeb"/>
        <w:spacing w:before="0" w:beforeAutospacing="0" w:after="0" w:afterAutospacing="0" w:line="360" w:lineRule="auto"/>
        <w:rPr>
          <w:rFonts w:ascii="Avenir Next LT Pro Light" w:hAnsi="Avenir Next LT Pro Light"/>
          <w:sz w:val="22"/>
          <w:szCs w:val="22"/>
        </w:rPr>
      </w:pPr>
      <w:r w:rsidRPr="001B79FE">
        <w:rPr>
          <w:rFonts w:ascii="Avenir Next LT Pro Light" w:hAnsi="Avenir Next LT Pro Light"/>
          <w:b/>
          <w:bCs/>
          <w:color w:val="000000"/>
          <w:sz w:val="22"/>
          <w:szCs w:val="22"/>
        </w:rPr>
        <w:t>Autorizado por:</w:t>
      </w:r>
      <w:r w:rsidRPr="001B79FE">
        <w:rPr>
          <w:rFonts w:ascii="Avenir Next LT Pro Light" w:hAnsi="Avenir Next LT Pro Light"/>
          <w:color w:val="000000"/>
          <w:sz w:val="22"/>
          <w:szCs w:val="22"/>
        </w:rPr>
        <w:t xml:space="preserve"> Octavio G. Adame Jacinto </w:t>
      </w:r>
    </w:p>
    <w:p w14:paraId="45189CE8" w14:textId="0CB3E920" w:rsidR="00B948A0" w:rsidRPr="001B79FE" w:rsidRDefault="00B948A0" w:rsidP="00B948A0">
      <w:pPr>
        <w:pStyle w:val="NormalWeb"/>
        <w:spacing w:before="0" w:beforeAutospacing="0" w:after="0" w:afterAutospacing="0" w:line="360" w:lineRule="auto"/>
        <w:rPr>
          <w:rFonts w:ascii="Avenir Next LT Pro Light" w:hAnsi="Avenir Next LT Pro Light"/>
          <w:sz w:val="22"/>
          <w:szCs w:val="22"/>
        </w:rPr>
      </w:pPr>
      <w:r w:rsidRPr="001B79FE">
        <w:rPr>
          <w:rFonts w:ascii="Avenir Next LT Pro Light" w:hAnsi="Avenir Next LT Pro Light"/>
          <w:b/>
          <w:bCs/>
          <w:color w:val="000000"/>
          <w:sz w:val="22"/>
          <w:szCs w:val="22"/>
        </w:rPr>
        <w:t>Cargo:</w:t>
      </w:r>
      <w:r w:rsidRPr="001B79FE">
        <w:rPr>
          <w:rFonts w:ascii="Avenir Next LT Pro Light" w:hAnsi="Avenir Next LT Pro Light"/>
          <w:color w:val="000000"/>
          <w:sz w:val="22"/>
          <w:szCs w:val="22"/>
        </w:rPr>
        <w:t xml:space="preserve"> </w:t>
      </w:r>
      <w:proofErr w:type="gramStart"/>
      <w:r w:rsidRPr="001B79FE">
        <w:rPr>
          <w:rFonts w:ascii="Avenir Next LT Pro Light" w:hAnsi="Avenir Next LT Pro Light"/>
          <w:color w:val="000000"/>
          <w:sz w:val="22"/>
          <w:szCs w:val="22"/>
        </w:rPr>
        <w:t>Secretario Técnico</w:t>
      </w:r>
      <w:proofErr w:type="gramEnd"/>
    </w:p>
    <w:p w14:paraId="11D87185" w14:textId="3787A8A6" w:rsidR="00EA76C8" w:rsidRPr="001B79FE" w:rsidRDefault="00EA76C8" w:rsidP="00B948A0">
      <w:pPr>
        <w:spacing w:after="0"/>
        <w:rPr>
          <w:rFonts w:ascii="Avenir Next LT Pro Light" w:hAnsi="Avenir Next LT Pro Light" w:cs="Arial"/>
          <w:color w:val="2F5496" w:themeColor="accent1" w:themeShade="BF"/>
          <w:lang w:val="en-US"/>
        </w:rPr>
      </w:pPr>
    </w:p>
    <w:sectPr w:rsidR="00EA76C8" w:rsidRPr="001B79FE"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CD82" w14:textId="77777777" w:rsidR="00DD6D6E" w:rsidRDefault="00DD6D6E" w:rsidP="00A71679">
      <w:pPr>
        <w:spacing w:after="0" w:line="240" w:lineRule="auto"/>
      </w:pPr>
      <w:r>
        <w:separator/>
      </w:r>
    </w:p>
  </w:endnote>
  <w:endnote w:type="continuationSeparator" w:id="0">
    <w:p w14:paraId="0CAA647A" w14:textId="77777777" w:rsidR="00DD6D6E" w:rsidRDefault="00DD6D6E"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07D4" w14:textId="77777777" w:rsidR="00DD6D6E" w:rsidRDefault="00DD6D6E" w:rsidP="00A71679">
      <w:pPr>
        <w:spacing w:after="0" w:line="240" w:lineRule="auto"/>
      </w:pPr>
      <w:r>
        <w:separator/>
      </w:r>
    </w:p>
  </w:footnote>
  <w:footnote w:type="continuationSeparator" w:id="0">
    <w:p w14:paraId="22EFC580" w14:textId="77777777" w:rsidR="00DD6D6E" w:rsidRDefault="00DD6D6E"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CC2ADD"/>
    <w:multiLevelType w:val="hybridMultilevel"/>
    <w:tmpl w:val="450AEB32"/>
    <w:lvl w:ilvl="0" w:tplc="AE02351E">
      <w:start w:val="1"/>
      <w:numFmt w:val="upperRoman"/>
      <w:lvlText w:val="%1."/>
      <w:lvlJc w:val="right"/>
      <w:pPr>
        <w:ind w:left="2444"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13216791">
    <w:abstractNumId w:val="1"/>
  </w:num>
  <w:num w:numId="2" w16cid:durableId="1556818215">
    <w:abstractNumId w:val="0"/>
  </w:num>
  <w:num w:numId="3" w16cid:durableId="209774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01ED9"/>
    <w:rsid w:val="00003A85"/>
    <w:rsid w:val="00034082"/>
    <w:rsid w:val="000500AB"/>
    <w:rsid w:val="00054018"/>
    <w:rsid w:val="000D0F9D"/>
    <w:rsid w:val="000D69B4"/>
    <w:rsid w:val="000F2781"/>
    <w:rsid w:val="00127CA6"/>
    <w:rsid w:val="001917B4"/>
    <w:rsid w:val="0019698E"/>
    <w:rsid w:val="001B79FE"/>
    <w:rsid w:val="001D0611"/>
    <w:rsid w:val="001E7841"/>
    <w:rsid w:val="0022420D"/>
    <w:rsid w:val="00275D6A"/>
    <w:rsid w:val="002E5B0C"/>
    <w:rsid w:val="002F03CC"/>
    <w:rsid w:val="002F3381"/>
    <w:rsid w:val="00300981"/>
    <w:rsid w:val="003055AE"/>
    <w:rsid w:val="0032056B"/>
    <w:rsid w:val="00374144"/>
    <w:rsid w:val="003741FE"/>
    <w:rsid w:val="00376420"/>
    <w:rsid w:val="003818B0"/>
    <w:rsid w:val="00385137"/>
    <w:rsid w:val="00393159"/>
    <w:rsid w:val="003B2C10"/>
    <w:rsid w:val="003B6752"/>
    <w:rsid w:val="003C199E"/>
    <w:rsid w:val="003C37F2"/>
    <w:rsid w:val="003C3898"/>
    <w:rsid w:val="003D7E9B"/>
    <w:rsid w:val="00405EDD"/>
    <w:rsid w:val="00433653"/>
    <w:rsid w:val="00455911"/>
    <w:rsid w:val="00473704"/>
    <w:rsid w:val="0049694F"/>
    <w:rsid w:val="004B2ACA"/>
    <w:rsid w:val="004F00D3"/>
    <w:rsid w:val="005464D3"/>
    <w:rsid w:val="005817E5"/>
    <w:rsid w:val="005F29CE"/>
    <w:rsid w:val="00677214"/>
    <w:rsid w:val="00677E14"/>
    <w:rsid w:val="006B1488"/>
    <w:rsid w:val="006E4543"/>
    <w:rsid w:val="006F0E59"/>
    <w:rsid w:val="006F23A8"/>
    <w:rsid w:val="006F6CC4"/>
    <w:rsid w:val="00746568"/>
    <w:rsid w:val="007659BF"/>
    <w:rsid w:val="0077076B"/>
    <w:rsid w:val="007A4B05"/>
    <w:rsid w:val="007B1E02"/>
    <w:rsid w:val="007B3980"/>
    <w:rsid w:val="007E09E3"/>
    <w:rsid w:val="00804758"/>
    <w:rsid w:val="00807624"/>
    <w:rsid w:val="0081319F"/>
    <w:rsid w:val="0081740C"/>
    <w:rsid w:val="008260C4"/>
    <w:rsid w:val="00826357"/>
    <w:rsid w:val="008336F7"/>
    <w:rsid w:val="0084276E"/>
    <w:rsid w:val="008554B2"/>
    <w:rsid w:val="00856478"/>
    <w:rsid w:val="00880C30"/>
    <w:rsid w:val="00891297"/>
    <w:rsid w:val="00891404"/>
    <w:rsid w:val="008E3BE7"/>
    <w:rsid w:val="009143E0"/>
    <w:rsid w:val="009373FD"/>
    <w:rsid w:val="00944B55"/>
    <w:rsid w:val="00961AD7"/>
    <w:rsid w:val="009879B2"/>
    <w:rsid w:val="009D63AE"/>
    <w:rsid w:val="00A71679"/>
    <w:rsid w:val="00A77BAA"/>
    <w:rsid w:val="00A91AE3"/>
    <w:rsid w:val="00A9538E"/>
    <w:rsid w:val="00AA492A"/>
    <w:rsid w:val="00AA5C73"/>
    <w:rsid w:val="00AE7AA0"/>
    <w:rsid w:val="00AF2038"/>
    <w:rsid w:val="00B124F7"/>
    <w:rsid w:val="00B20F12"/>
    <w:rsid w:val="00B21043"/>
    <w:rsid w:val="00B216E0"/>
    <w:rsid w:val="00B948A0"/>
    <w:rsid w:val="00B96A42"/>
    <w:rsid w:val="00BA3CA2"/>
    <w:rsid w:val="00BF1894"/>
    <w:rsid w:val="00BF596D"/>
    <w:rsid w:val="00C0566D"/>
    <w:rsid w:val="00C07DAA"/>
    <w:rsid w:val="00C109D2"/>
    <w:rsid w:val="00C44652"/>
    <w:rsid w:val="00C97E85"/>
    <w:rsid w:val="00CA423C"/>
    <w:rsid w:val="00CD0655"/>
    <w:rsid w:val="00CD181A"/>
    <w:rsid w:val="00CE3201"/>
    <w:rsid w:val="00CE57A1"/>
    <w:rsid w:val="00D20BEA"/>
    <w:rsid w:val="00D40A7D"/>
    <w:rsid w:val="00D71BF8"/>
    <w:rsid w:val="00DA17D2"/>
    <w:rsid w:val="00DD6D6E"/>
    <w:rsid w:val="00DF18F8"/>
    <w:rsid w:val="00E27EED"/>
    <w:rsid w:val="00E71425"/>
    <w:rsid w:val="00E82EB9"/>
    <w:rsid w:val="00E9254B"/>
    <w:rsid w:val="00E93487"/>
    <w:rsid w:val="00EA76C8"/>
    <w:rsid w:val="00EB036B"/>
    <w:rsid w:val="00EB0D30"/>
    <w:rsid w:val="00F176FA"/>
    <w:rsid w:val="00F45F9E"/>
    <w:rsid w:val="00F6121B"/>
    <w:rsid w:val="00F61EDF"/>
    <w:rsid w:val="00F90BDA"/>
    <w:rsid w:val="00F96B26"/>
    <w:rsid w:val="00F973ED"/>
    <w:rsid w:val="00FC4380"/>
    <w:rsid w:val="00FD7E3D"/>
    <w:rsid w:val="00FF3F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B948A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6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1247</Words>
  <Characters>6860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38</cp:revision>
  <cp:lastPrinted>2024-04-02T17:16:00Z</cp:lastPrinted>
  <dcterms:created xsi:type="dcterms:W3CDTF">2023-03-01T20:29:00Z</dcterms:created>
  <dcterms:modified xsi:type="dcterms:W3CDTF">2025-04-02T18:35:00Z</dcterms:modified>
</cp:coreProperties>
</file>