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1D1" w:rsidRPr="003946A4" w:rsidRDefault="005841D1" w:rsidP="003946A4">
      <w:pPr>
        <w:spacing w:after="200"/>
        <w:ind w:left="-1418" w:right="-660" w:firstLine="1418"/>
        <w:rPr>
          <w:rFonts w:ascii="Century Gothic" w:hAnsi="Century Gothic"/>
          <w:b/>
          <w:i/>
          <w:sz w:val="18"/>
          <w:szCs w:val="26"/>
        </w:rPr>
      </w:pPr>
      <w:bookmarkStart w:id="0" w:name="_Hlk510705399"/>
      <w:r w:rsidRPr="003946A4">
        <w:rPr>
          <w:rFonts w:ascii="Century Gothic" w:hAnsi="Century Gothic"/>
          <w:b/>
          <w:i/>
          <w:sz w:val="18"/>
          <w:szCs w:val="26"/>
        </w:rPr>
        <w:t>PUBLICADO EN EL PERIÓDICO OFICIAL</w:t>
      </w:r>
      <w:r w:rsidR="003946A4" w:rsidRPr="003946A4">
        <w:rPr>
          <w:rFonts w:ascii="Century Gothic" w:hAnsi="Century Gothic"/>
          <w:b/>
          <w:i/>
          <w:sz w:val="18"/>
          <w:szCs w:val="26"/>
        </w:rPr>
        <w:t xml:space="preserve"> DEL ESTADO DE COAHUILA DE ZARAGOZA</w:t>
      </w:r>
      <w:r w:rsidRPr="003946A4">
        <w:rPr>
          <w:rFonts w:ascii="Century Gothic" w:hAnsi="Century Gothic"/>
          <w:b/>
          <w:i/>
          <w:sz w:val="18"/>
          <w:szCs w:val="26"/>
        </w:rPr>
        <w:t xml:space="preserve"> EL 08 DE JUNIO DE 2018</w:t>
      </w:r>
    </w:p>
    <w:p w:rsidR="00984DEF" w:rsidRDefault="004A29D4" w:rsidP="003946A4">
      <w:pPr>
        <w:spacing w:after="200"/>
        <w:jc w:val="center"/>
        <w:rPr>
          <w:rFonts w:ascii="Century Gothic" w:hAnsi="Century Gothic"/>
          <w:b/>
          <w:sz w:val="26"/>
          <w:szCs w:val="26"/>
        </w:rPr>
      </w:pPr>
      <w:r w:rsidRPr="004A29D4">
        <w:rPr>
          <w:rFonts w:ascii="Century Gothic" w:hAnsi="Century Gothic"/>
          <w:b/>
          <w:sz w:val="26"/>
          <w:szCs w:val="26"/>
        </w:rPr>
        <w:t xml:space="preserve">ESTATUTO DEL SERVICIO PROFESIONAL DE CARRERA </w:t>
      </w:r>
    </w:p>
    <w:p w:rsidR="00984DEF" w:rsidRDefault="004A29D4" w:rsidP="003946A4">
      <w:pPr>
        <w:spacing w:after="200"/>
        <w:jc w:val="center"/>
        <w:rPr>
          <w:rFonts w:ascii="Century Gothic" w:hAnsi="Century Gothic"/>
          <w:b/>
          <w:sz w:val="26"/>
          <w:szCs w:val="26"/>
        </w:rPr>
      </w:pPr>
      <w:r w:rsidRPr="004A29D4">
        <w:rPr>
          <w:rFonts w:ascii="Century Gothic" w:hAnsi="Century Gothic"/>
          <w:b/>
          <w:sz w:val="26"/>
          <w:szCs w:val="26"/>
        </w:rPr>
        <w:t xml:space="preserve">DEL TRIBUNAL DE JUSTICIA ADMINISTRATIVA </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 COAHUILA DE ZARAGOZA.</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TÍTULO PRIMERO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CAPÍTULO PRIMERO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GENERALIDADES</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w:t>
      </w:r>
      <w:r w:rsidRPr="004A29D4">
        <w:rPr>
          <w:rFonts w:ascii="Century Gothic" w:hAnsi="Century Gothic"/>
          <w:sz w:val="26"/>
          <w:szCs w:val="26"/>
        </w:rPr>
        <w:t xml:space="preserve"> Las disposiciones de este ordenamiento son de observancia general y tienen por objeto regular el servicio profesional de carrera jurisdiccional de los servidores públicos del Tribunal de Justicia Administrativa de Coahuila de Zaragoza, basado en los principios de excelencia, profesionalismo, objetividad, imparcialidad, independencia, honestidad, antigüedad, eficiencia, capacidad y experiencia.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 xml:space="preserve">El servicio comprenderá a los servidores públicos jurisdiccionales del Tribunal de Justicia Administrativa de Coahuila de Zaragoza señalados en las fracciones III a VIII del apartado A del artículo 11 del Reglamento Interior del Tribunal de Justicia Administrativa de Coahuila de Zaragoza, de conformidad con los artículos 25 de la Ley Orgánica del Tribunal de Justicia Administrativa de Coahuila de Zaragoza y 50 del Reglamento Interior del Tribunal de Justicia Administrativa de Coahuila de Zaragoza.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2.-</w:t>
      </w:r>
      <w:r w:rsidRPr="004A29D4">
        <w:rPr>
          <w:rFonts w:ascii="Century Gothic" w:hAnsi="Century Gothic"/>
          <w:sz w:val="26"/>
          <w:szCs w:val="26"/>
        </w:rPr>
        <w:t xml:space="preserve"> Para los efectos de este Estatuto se entiende por: </w:t>
      </w:r>
    </w:p>
    <w:p w:rsidR="004A29D4" w:rsidRPr="00984DEF" w:rsidRDefault="004A29D4" w:rsidP="003946A4">
      <w:pPr>
        <w:spacing w:after="200"/>
        <w:ind w:left="567"/>
        <w:jc w:val="both"/>
        <w:rPr>
          <w:rFonts w:ascii="Century Gothic" w:hAnsi="Century Gothic"/>
          <w:sz w:val="25"/>
          <w:szCs w:val="25"/>
        </w:rPr>
      </w:pPr>
      <w:r w:rsidRPr="00984DEF">
        <w:rPr>
          <w:rFonts w:ascii="Century Gothic" w:hAnsi="Century Gothic"/>
          <w:b/>
          <w:sz w:val="25"/>
          <w:szCs w:val="25"/>
        </w:rPr>
        <w:t>I.-</w:t>
      </w:r>
      <w:r w:rsidRPr="00984DEF">
        <w:rPr>
          <w:rFonts w:ascii="Century Gothic" w:hAnsi="Century Gothic"/>
          <w:sz w:val="25"/>
          <w:szCs w:val="25"/>
        </w:rPr>
        <w:t xml:space="preserve"> Director de Recursos Humanos: Al titular de la Dirección de Recursos Humanos del Tribunal de Justicia Administrativa de Coahuila de Zaragoza. </w:t>
      </w:r>
    </w:p>
    <w:p w:rsidR="004A29D4" w:rsidRPr="00984DEF" w:rsidRDefault="004A29D4" w:rsidP="003946A4">
      <w:pPr>
        <w:spacing w:after="200"/>
        <w:ind w:left="567"/>
        <w:jc w:val="both"/>
        <w:rPr>
          <w:rFonts w:ascii="Century Gothic" w:hAnsi="Century Gothic"/>
          <w:sz w:val="25"/>
          <w:szCs w:val="25"/>
        </w:rPr>
      </w:pPr>
      <w:r w:rsidRPr="00984DEF">
        <w:rPr>
          <w:rFonts w:ascii="Century Gothic" w:hAnsi="Century Gothic"/>
          <w:b/>
          <w:sz w:val="25"/>
          <w:szCs w:val="25"/>
        </w:rPr>
        <w:t>II.-</w:t>
      </w:r>
      <w:r w:rsidRPr="00984DEF">
        <w:rPr>
          <w:rFonts w:ascii="Century Gothic" w:hAnsi="Century Gothic"/>
          <w:sz w:val="25"/>
          <w:szCs w:val="25"/>
        </w:rPr>
        <w:t xml:space="preserve"> Director de Servicio Profesional de Carrera: al Director del Servicio Profesional de Carrera del Tribunal de Justicia Administrativa de Coahuila de Zaragoza.  </w:t>
      </w:r>
    </w:p>
    <w:p w:rsidR="00984DEF" w:rsidRPr="00984DEF" w:rsidRDefault="004A29D4" w:rsidP="003946A4">
      <w:pPr>
        <w:spacing w:after="200"/>
        <w:ind w:left="567"/>
        <w:jc w:val="both"/>
        <w:rPr>
          <w:rFonts w:ascii="Century Gothic" w:hAnsi="Century Gothic"/>
          <w:sz w:val="25"/>
          <w:szCs w:val="25"/>
        </w:rPr>
      </w:pPr>
      <w:r w:rsidRPr="00984DEF">
        <w:rPr>
          <w:rFonts w:ascii="Century Gothic" w:hAnsi="Century Gothic"/>
          <w:b/>
          <w:sz w:val="25"/>
          <w:szCs w:val="25"/>
        </w:rPr>
        <w:t>III.-</w:t>
      </w:r>
      <w:r w:rsidRPr="00984DEF">
        <w:rPr>
          <w:rFonts w:ascii="Century Gothic" w:hAnsi="Century Gothic"/>
          <w:sz w:val="25"/>
          <w:szCs w:val="25"/>
        </w:rPr>
        <w:t xml:space="preserve"> Estatuto: Al Estatuto del Servicio Profesional Carrera del Tribunal de Justicia Administrativa de Coahuila de Zaragoza. </w:t>
      </w:r>
    </w:p>
    <w:p w:rsidR="004A29D4" w:rsidRPr="00984DEF" w:rsidRDefault="004A29D4" w:rsidP="003946A4">
      <w:pPr>
        <w:spacing w:after="200"/>
        <w:ind w:left="567"/>
        <w:jc w:val="both"/>
        <w:rPr>
          <w:rFonts w:ascii="Century Gothic" w:hAnsi="Century Gothic"/>
          <w:sz w:val="25"/>
          <w:szCs w:val="25"/>
        </w:rPr>
      </w:pPr>
      <w:r w:rsidRPr="00984DEF">
        <w:rPr>
          <w:rFonts w:ascii="Century Gothic" w:hAnsi="Century Gothic"/>
          <w:b/>
          <w:sz w:val="25"/>
          <w:szCs w:val="25"/>
        </w:rPr>
        <w:t>IV.-</w:t>
      </w:r>
      <w:r w:rsidRPr="00984DEF">
        <w:rPr>
          <w:rFonts w:ascii="Century Gothic" w:hAnsi="Century Gothic"/>
          <w:sz w:val="25"/>
          <w:szCs w:val="25"/>
        </w:rPr>
        <w:t xml:space="preserve"> Equidad de género: Es el equilibrio en las oportunidades de acceso a bienes, servicios y beneficios tanto de mujeres como de hombres.</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Funcionarios Administrativos: Son los funcionarios que desempeñan la actividad Administrativa dentro del Tribunal, y que se encuentran comprendidos en las fracciones VII a IX de la Ley Orgánica e inciso B del artículo 11 del Reglamento Interior.</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w:t>
      </w:r>
      <w:r w:rsidRPr="004A29D4">
        <w:rPr>
          <w:rFonts w:ascii="Century Gothic" w:hAnsi="Century Gothic"/>
          <w:sz w:val="26"/>
          <w:szCs w:val="26"/>
        </w:rPr>
        <w:t xml:space="preserve"> Junta: Los magistrados y funcionarios del Tribunal que comisione el Pleno de la Sala Superior del Tribunal de Justicia Administrativa para instrumentar y ejercer las facultades que se le otorgan a la Junta en este Estatuto.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lastRenderedPageBreak/>
        <w:t>VII.-</w:t>
      </w:r>
      <w:r w:rsidRPr="004A29D4">
        <w:rPr>
          <w:rFonts w:ascii="Century Gothic" w:hAnsi="Century Gothic"/>
          <w:sz w:val="26"/>
          <w:szCs w:val="26"/>
        </w:rPr>
        <w:t xml:space="preserve"> Ley Orgánica: A la Ley Orgánica del Tribunal de Justicia Administrativa de Coahuila de Zaragoza.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VIII.-</w:t>
      </w:r>
      <w:r w:rsidRPr="004A29D4">
        <w:rPr>
          <w:rFonts w:ascii="Century Gothic" w:hAnsi="Century Gothic"/>
          <w:sz w:val="26"/>
          <w:szCs w:val="26"/>
        </w:rPr>
        <w:t xml:space="preserve"> Lineamientos: A los lineamientos para la elaboración, aplicación y calificación de los exámenes que elabore la Junta.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IX.-</w:t>
      </w:r>
      <w:r w:rsidRPr="004A29D4">
        <w:rPr>
          <w:rFonts w:ascii="Century Gothic" w:hAnsi="Century Gothic"/>
          <w:sz w:val="26"/>
          <w:szCs w:val="26"/>
        </w:rPr>
        <w:t xml:space="preserve"> Miembros del Servicio: A los Servidores Públicos comprendidos en el artículo 1º  de este Estatuto que ingresen y los que ya formen parte de esta Institución, que podrán ser promovidos, sujetos de estímulos, permanencia y que participarán en programas de actualización y desarrollo.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w:t>
      </w:r>
      <w:r>
        <w:rPr>
          <w:rFonts w:ascii="Century Gothic" w:hAnsi="Century Gothic"/>
          <w:b/>
          <w:sz w:val="26"/>
          <w:szCs w:val="26"/>
        </w:rPr>
        <w:t xml:space="preserve"> </w:t>
      </w:r>
      <w:r w:rsidRPr="004A29D4">
        <w:rPr>
          <w:rFonts w:ascii="Century Gothic" w:hAnsi="Century Gothic"/>
          <w:sz w:val="26"/>
          <w:szCs w:val="26"/>
        </w:rPr>
        <w:t xml:space="preserve">Pleno: Al Pleno de la Sala Superior del Tribunal de Justicia Administrativa de Coahuila de Zaragoza.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XI.-</w:t>
      </w:r>
      <w:r>
        <w:rPr>
          <w:rFonts w:ascii="Century Gothic" w:hAnsi="Century Gothic"/>
          <w:b/>
          <w:sz w:val="26"/>
          <w:szCs w:val="26"/>
        </w:rPr>
        <w:t xml:space="preserve"> </w:t>
      </w:r>
      <w:r w:rsidRPr="004A29D4">
        <w:rPr>
          <w:rFonts w:ascii="Century Gothic" w:hAnsi="Century Gothic"/>
          <w:sz w:val="26"/>
          <w:szCs w:val="26"/>
        </w:rPr>
        <w:t xml:space="preserve">Presidente: Al Presidente del Tribunal de Justicia Administrativa de Coahuila de Zaragoza.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XII.-</w:t>
      </w:r>
      <w:r>
        <w:rPr>
          <w:rFonts w:ascii="Century Gothic" w:hAnsi="Century Gothic"/>
          <w:b/>
          <w:sz w:val="26"/>
          <w:szCs w:val="26"/>
        </w:rPr>
        <w:t xml:space="preserve"> </w:t>
      </w:r>
      <w:r w:rsidRPr="004A29D4">
        <w:rPr>
          <w:rFonts w:ascii="Century Gothic" w:hAnsi="Century Gothic"/>
          <w:sz w:val="26"/>
          <w:szCs w:val="26"/>
        </w:rPr>
        <w:t xml:space="preserve">Salas: A la Sala Superior, las Salas en materia Fiscal y Administrativa, y la Sala Especializada en Materia de Responsabilidades Administrativas que integran el Tribunal de Justicia Administrativa de Coahuila de Zaragoza.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XIII.-</w:t>
      </w:r>
      <w:r w:rsidRPr="004A29D4">
        <w:rPr>
          <w:rFonts w:ascii="Century Gothic" w:hAnsi="Century Gothic"/>
          <w:sz w:val="26"/>
          <w:szCs w:val="26"/>
        </w:rPr>
        <w:t xml:space="preserve"> Servicio: Al Servicio Profesional de Carrera.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XIV.-</w:t>
      </w:r>
      <w:r>
        <w:rPr>
          <w:rFonts w:ascii="Century Gothic" w:hAnsi="Century Gothic"/>
          <w:b/>
          <w:sz w:val="26"/>
          <w:szCs w:val="26"/>
        </w:rPr>
        <w:t xml:space="preserve"> </w:t>
      </w:r>
      <w:r w:rsidRPr="004A29D4">
        <w:rPr>
          <w:rFonts w:ascii="Century Gothic" w:hAnsi="Century Gothic"/>
          <w:sz w:val="26"/>
          <w:szCs w:val="26"/>
        </w:rPr>
        <w:t>Sistema: Al conjunto de reglas o principios rectores del servicio profesional de carrera jurisdiccional del Tribunal de Justicia Administrativa de Coahuila de Zaragoza</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XV.-</w:t>
      </w:r>
      <w:r w:rsidRPr="004A29D4">
        <w:rPr>
          <w:rFonts w:ascii="Century Gothic" w:hAnsi="Century Gothic"/>
          <w:sz w:val="26"/>
          <w:szCs w:val="26"/>
        </w:rPr>
        <w:t xml:space="preserve"> Tribunal: Al Tribunal de Justicia Administrativa de Coahuila de Zaragoza.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3.-</w:t>
      </w:r>
      <w:r w:rsidRPr="004A29D4">
        <w:rPr>
          <w:rFonts w:ascii="Century Gothic" w:hAnsi="Century Gothic"/>
          <w:sz w:val="26"/>
          <w:szCs w:val="26"/>
        </w:rPr>
        <w:t xml:space="preserve"> El Servicio es el sistema mediante el cual los Servidores Públicos del Tribunal, ingresarán, se formarán, podrán ser promovidos, permanecerán y participaran en programas de actualización y desarrollo, en términos de lo dispuesto por el artículo 8 y 25 de la Ley Orgánica y tendrá por objeto: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 Establecer los cargos o puestos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w:t>
      </w:r>
      <w:r w:rsidRPr="004A29D4">
        <w:rPr>
          <w:rFonts w:ascii="Century Gothic" w:hAnsi="Century Gothic"/>
          <w:sz w:val="26"/>
          <w:szCs w:val="26"/>
        </w:rPr>
        <w:t xml:space="preserve"> Regular el reclutamiento, ingreso y selección de los Miembros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III.-</w:t>
      </w:r>
      <w:r>
        <w:rPr>
          <w:rFonts w:ascii="Century Gothic" w:hAnsi="Century Gothic"/>
          <w:b/>
          <w:sz w:val="26"/>
          <w:szCs w:val="26"/>
        </w:rPr>
        <w:t xml:space="preserve"> </w:t>
      </w:r>
      <w:r w:rsidRPr="004A29D4">
        <w:rPr>
          <w:rFonts w:ascii="Century Gothic" w:hAnsi="Century Gothic"/>
          <w:sz w:val="26"/>
          <w:szCs w:val="26"/>
        </w:rPr>
        <w:t xml:space="preserve">Desarrollar los programas de profesionalización, formación, especialización, capacitación, actualización y desarrollo;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Definir los mecanismos y procedimientos para la evaluación del desempeño;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Normar los sistemas de promoción y ascenso con base en los méritos, evaluación de conocimientos en la materia competencia del tribunal, del desempeño y concursos de oposición; y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w:t>
      </w:r>
      <w:r w:rsidRPr="004A29D4">
        <w:rPr>
          <w:rFonts w:ascii="Century Gothic" w:hAnsi="Century Gothic"/>
          <w:sz w:val="26"/>
          <w:szCs w:val="26"/>
        </w:rPr>
        <w:t xml:space="preserve"> Determinar los derechos y las obligaciones de los Miembros del Servicio.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lastRenderedPageBreak/>
        <w:t>Artículo 4.-</w:t>
      </w:r>
      <w:r w:rsidRPr="004A29D4">
        <w:rPr>
          <w:rFonts w:ascii="Century Gothic" w:hAnsi="Century Gothic"/>
          <w:sz w:val="26"/>
          <w:szCs w:val="26"/>
        </w:rPr>
        <w:t xml:space="preserve"> La Junta procurará que las categorías de puestos que integran la carrera jurisdiccional sean ocupadas por mujeres y hombres en condiciones de equidad de género. Para el ingreso al Sistema Profesional de Carrera Jurisdiccional, el personal deberá cumplir con los requisitos establecidos en la Ley Orgánica y sujetarse a los procedimientos contemplados en el presente Estatuto.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5.-</w:t>
      </w:r>
      <w:r w:rsidRPr="004A29D4">
        <w:rPr>
          <w:rFonts w:ascii="Century Gothic" w:hAnsi="Century Gothic"/>
          <w:sz w:val="26"/>
          <w:szCs w:val="26"/>
        </w:rPr>
        <w:t xml:space="preserve"> El Sistema y la actualización de los Miembros del Servicio, se regirá por los principios de: </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 Excelencia</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II.-</w:t>
      </w:r>
      <w:r w:rsidRPr="004A29D4">
        <w:rPr>
          <w:rFonts w:ascii="Century Gothic" w:hAnsi="Century Gothic"/>
          <w:sz w:val="26"/>
          <w:szCs w:val="26"/>
        </w:rPr>
        <w:t xml:space="preserve"> Profesionalismo</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III.-</w:t>
      </w:r>
      <w:r w:rsidRPr="004A29D4">
        <w:rPr>
          <w:rFonts w:ascii="Century Gothic" w:hAnsi="Century Gothic"/>
          <w:sz w:val="26"/>
          <w:szCs w:val="26"/>
        </w:rPr>
        <w:t xml:space="preserve"> Objetividad</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Imparcialidad</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Independencia</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VI.-</w:t>
      </w:r>
      <w:r w:rsidRPr="004A29D4">
        <w:rPr>
          <w:rFonts w:ascii="Century Gothic" w:hAnsi="Century Gothic"/>
          <w:sz w:val="26"/>
          <w:szCs w:val="26"/>
        </w:rPr>
        <w:t xml:space="preserve"> Honestidad </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VII.-</w:t>
      </w:r>
      <w:r w:rsidRPr="004A29D4">
        <w:rPr>
          <w:rFonts w:ascii="Century Gothic" w:hAnsi="Century Gothic"/>
          <w:sz w:val="26"/>
          <w:szCs w:val="26"/>
        </w:rPr>
        <w:t xml:space="preserve"> Eficiencia</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VIII.-</w:t>
      </w:r>
      <w:r w:rsidRPr="004A29D4">
        <w:rPr>
          <w:rFonts w:ascii="Century Gothic" w:hAnsi="Century Gothic"/>
          <w:sz w:val="26"/>
          <w:szCs w:val="26"/>
        </w:rPr>
        <w:t xml:space="preserve"> Capacidad;  </w:t>
      </w:r>
    </w:p>
    <w:p w:rsidR="004A29D4" w:rsidRP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IX.-</w:t>
      </w:r>
      <w:r w:rsidRPr="004A29D4">
        <w:rPr>
          <w:rFonts w:ascii="Century Gothic" w:hAnsi="Century Gothic"/>
          <w:sz w:val="26"/>
          <w:szCs w:val="26"/>
        </w:rPr>
        <w:t xml:space="preserve"> Experiencia; y</w:t>
      </w:r>
    </w:p>
    <w:p w:rsidR="004A29D4" w:rsidRDefault="004A29D4" w:rsidP="003946A4">
      <w:pPr>
        <w:spacing w:after="200"/>
        <w:ind w:left="284"/>
        <w:jc w:val="both"/>
        <w:rPr>
          <w:rFonts w:ascii="Century Gothic" w:hAnsi="Century Gothic"/>
          <w:sz w:val="26"/>
          <w:szCs w:val="26"/>
        </w:rPr>
      </w:pPr>
      <w:r w:rsidRPr="004A29D4">
        <w:rPr>
          <w:rFonts w:ascii="Century Gothic" w:hAnsi="Century Gothic"/>
          <w:b/>
          <w:sz w:val="26"/>
          <w:szCs w:val="26"/>
        </w:rPr>
        <w:t>X.-</w:t>
      </w:r>
      <w:r w:rsidRPr="004A29D4">
        <w:rPr>
          <w:rFonts w:ascii="Century Gothic" w:hAnsi="Century Gothic"/>
          <w:sz w:val="26"/>
          <w:szCs w:val="26"/>
        </w:rPr>
        <w:t xml:space="preserve"> Antigüedad.  </w:t>
      </w:r>
    </w:p>
    <w:p w:rsidR="00984DEF" w:rsidRPr="004A29D4" w:rsidRDefault="00984DEF" w:rsidP="003946A4">
      <w:pPr>
        <w:spacing w:after="200"/>
        <w:ind w:left="284"/>
        <w:jc w:val="both"/>
        <w:rPr>
          <w:rFonts w:ascii="Century Gothic" w:hAnsi="Century Gothic"/>
          <w:sz w:val="26"/>
          <w:szCs w:val="26"/>
        </w:rPr>
      </w:pP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CAPITULO SEGUNDO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 LAS AUTORIDADES</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6.-</w:t>
      </w:r>
      <w:r w:rsidRPr="004A29D4">
        <w:rPr>
          <w:rFonts w:ascii="Century Gothic" w:hAnsi="Century Gothic"/>
          <w:sz w:val="26"/>
          <w:szCs w:val="26"/>
        </w:rPr>
        <w:t xml:space="preserve"> Con fundamento en la Ley Orgánica y el Reglamento, son autoridades en materia del Servicio, las siguientes: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 xml:space="preserve">El Pleno de la Sala Superior del Tribunal de Justicia Administrativa de Coahuila de Zaragoza;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 xml:space="preserve">El o la Titular de la Dirección de Servicio Profesional de Carrera; y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 xml:space="preserve">El o la Titular de la Dirección de Recursos Humanos.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7.-</w:t>
      </w:r>
      <w:r w:rsidRPr="004A29D4">
        <w:rPr>
          <w:rFonts w:ascii="Century Gothic" w:hAnsi="Century Gothic"/>
          <w:sz w:val="26"/>
          <w:szCs w:val="26"/>
        </w:rPr>
        <w:t xml:space="preserve"> A la Junta le corresponde la planeación e instrumentación del Servicio Profesional de Carrera Jurisdiccional. La junta se conformará con los magistrados y funcionarios que comisione el Pleno de la Sala Superior del Tribunal de Justicia Administrativa para instrumentar y ejercer las facultades que se le otorgan a la Junta en este Estatuto.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8.-</w:t>
      </w:r>
      <w:r w:rsidRPr="004A29D4">
        <w:rPr>
          <w:rFonts w:ascii="Century Gothic" w:hAnsi="Century Gothic"/>
          <w:sz w:val="26"/>
          <w:szCs w:val="26"/>
        </w:rPr>
        <w:t xml:space="preserve"> El Pleno tendrá la atribución de designar, a propuesta del Presidente, al Secretario General de Acuerdos, así como ejercer las facultades relativas  los nombramientos de los servidores públicos de la carrera jurisdiccional, y las demás que determine la Ley Orgánica y demás </w:t>
      </w:r>
      <w:r w:rsidRPr="004A29D4">
        <w:rPr>
          <w:rFonts w:ascii="Century Gothic" w:hAnsi="Century Gothic"/>
          <w:sz w:val="26"/>
          <w:szCs w:val="26"/>
        </w:rPr>
        <w:lastRenderedPageBreak/>
        <w:t xml:space="preserve">disposiciones aplicables. Para los nombramientos, ascensos y estímulos, se podrá considerar preferentemente al personal jurisdiccional o servidores públicos de este Tribunal, atendiendo a los principios de excelencia, profesionalismo, objetividad, imparcialidad, independencia, honestidad, antigüedad, eficiencia, capacidad y experiencia.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9.-</w:t>
      </w:r>
      <w:r w:rsidRPr="004A29D4">
        <w:rPr>
          <w:rFonts w:ascii="Century Gothic" w:hAnsi="Century Gothic"/>
          <w:sz w:val="26"/>
          <w:szCs w:val="26"/>
        </w:rPr>
        <w:t xml:space="preserve"> La Junta tendrá las siguientes atribuciones: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Aprobar la celebración de los concursos de oposición para el ingreso y promoción de los servidores públicos jurisdiccionales de las Salas del Tribunal, con excepción de los Magistrados;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w:t>
      </w:r>
      <w:r w:rsidRPr="004A29D4">
        <w:rPr>
          <w:rFonts w:ascii="Century Gothic" w:hAnsi="Century Gothic"/>
          <w:sz w:val="26"/>
          <w:szCs w:val="26"/>
        </w:rPr>
        <w:t xml:space="preserve"> Elaborar las evaluaciones académicas en colaboración con los servidores públicos designados por la junta y con las Instituciones educativas que para tal efecto tenga celebrado convenio el Tribunal.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III.-</w:t>
      </w:r>
      <w:r w:rsidR="005E2D27">
        <w:rPr>
          <w:rFonts w:ascii="Century Gothic" w:hAnsi="Century Gothic"/>
          <w:b/>
          <w:sz w:val="26"/>
          <w:szCs w:val="26"/>
        </w:rPr>
        <w:t xml:space="preserve"> </w:t>
      </w:r>
      <w:r w:rsidRPr="004A29D4">
        <w:rPr>
          <w:rFonts w:ascii="Century Gothic" w:hAnsi="Century Gothic"/>
          <w:sz w:val="26"/>
          <w:szCs w:val="26"/>
        </w:rPr>
        <w:t>Emitir la convocatoria para la ocupación de las plazas vacantes de los cargos o puestos jurisdiccionales, con excepción de los Magistrados;</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Aprobar los exámenes de los concursos de oposición, para el ingreso y promoción de los candidatos;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Aplicar los exámenes de oposición a los candidatos para el ingreso y promoción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w:t>
      </w:r>
      <w:r w:rsidRPr="004A29D4">
        <w:rPr>
          <w:rFonts w:ascii="Century Gothic" w:hAnsi="Century Gothic"/>
          <w:sz w:val="26"/>
          <w:szCs w:val="26"/>
        </w:rPr>
        <w:t xml:space="preserve"> Llevar a cabo las evaluaciones que establece el artículo 14 del presente Estatuto.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VII.-</w:t>
      </w:r>
      <w:r w:rsidRPr="004A29D4">
        <w:rPr>
          <w:rFonts w:ascii="Century Gothic" w:hAnsi="Century Gothic"/>
          <w:sz w:val="26"/>
          <w:szCs w:val="26"/>
        </w:rPr>
        <w:t xml:space="preserve"> Someter a consideración del pleno acerca de los impedimentos y excusas de los Magistrados que integran la Junta, para evaluar los exámenes, cuando se vea comprometida la imparcialidad de la evaluación respectiva.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VIII.-</w:t>
      </w:r>
      <w:r w:rsidRPr="004A29D4">
        <w:rPr>
          <w:rFonts w:ascii="Century Gothic" w:hAnsi="Century Gothic"/>
          <w:sz w:val="26"/>
          <w:szCs w:val="26"/>
        </w:rPr>
        <w:t xml:space="preserve">Definir los mecanismos y procedimientos para la evaluación al desempeño de los Miembros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IX.-</w:t>
      </w:r>
      <w:r w:rsidRPr="004A29D4">
        <w:rPr>
          <w:rFonts w:ascii="Century Gothic" w:hAnsi="Century Gothic"/>
          <w:sz w:val="26"/>
          <w:szCs w:val="26"/>
        </w:rPr>
        <w:t xml:space="preserve"> Establecer los sistemas de promoción y ascenso, con base en los méritos del personal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X.-</w:t>
      </w:r>
      <w:r w:rsidRPr="004A29D4">
        <w:rPr>
          <w:rFonts w:ascii="Century Gothic" w:hAnsi="Century Gothic"/>
          <w:sz w:val="26"/>
          <w:szCs w:val="26"/>
        </w:rPr>
        <w:t xml:space="preserve"> Informar al Pleno los resultados de las evaluaciones.</w:t>
      </w:r>
    </w:p>
    <w:p w:rsidR="004A29D4" w:rsidRPr="004A29D4" w:rsidRDefault="004A29D4" w:rsidP="003946A4">
      <w:pPr>
        <w:spacing w:after="200"/>
        <w:ind w:left="567"/>
        <w:jc w:val="both"/>
        <w:rPr>
          <w:rFonts w:ascii="Century Gothic" w:hAnsi="Century Gothic"/>
          <w:sz w:val="26"/>
          <w:szCs w:val="26"/>
        </w:rPr>
      </w:pPr>
      <w:r w:rsidRPr="005E2D27">
        <w:rPr>
          <w:rFonts w:ascii="Century Gothic" w:hAnsi="Century Gothic"/>
          <w:b/>
          <w:sz w:val="26"/>
          <w:szCs w:val="26"/>
        </w:rPr>
        <w:t>XI</w:t>
      </w:r>
      <w:r w:rsidRPr="004A29D4">
        <w:rPr>
          <w:rFonts w:ascii="Century Gothic" w:hAnsi="Century Gothic"/>
          <w:b/>
          <w:sz w:val="26"/>
          <w:szCs w:val="26"/>
        </w:rPr>
        <w:t>.-</w:t>
      </w:r>
      <w:r w:rsidRPr="004A29D4">
        <w:rPr>
          <w:rFonts w:ascii="Century Gothic" w:hAnsi="Century Gothic"/>
          <w:sz w:val="26"/>
          <w:szCs w:val="26"/>
        </w:rPr>
        <w:t xml:space="preserve"> Las demás que establezca la Ley Orgánica, el Reglamento Interior, el presente Estatuto y/o las que sean encomendadas por el Pleno.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10.-</w:t>
      </w:r>
      <w:r w:rsidRPr="004A29D4">
        <w:rPr>
          <w:rFonts w:ascii="Century Gothic" w:hAnsi="Century Gothic"/>
          <w:sz w:val="26"/>
          <w:szCs w:val="26"/>
        </w:rPr>
        <w:t xml:space="preserve"> El Presidente, de conformidad con la Ley Orgánica, podrá suscribir los convenios a que se refiere la fracción I del artículo 11 del presente Estatuto.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11.-</w:t>
      </w:r>
      <w:r w:rsidRPr="004A29D4">
        <w:rPr>
          <w:rFonts w:ascii="Century Gothic" w:hAnsi="Century Gothic"/>
          <w:sz w:val="26"/>
          <w:szCs w:val="26"/>
        </w:rPr>
        <w:t xml:space="preserve"> El Director del Servicio Profesional de Carrera tendrá las siguientes atribuciones: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 Promover la celebración de convenios con instituciones académicas y jurisdiccionales nacionales y extranjeras para contribuir a la formación, especialización y excelencia de los servidores públicos del Tribunal;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lastRenderedPageBreak/>
        <w:t>II.-</w:t>
      </w:r>
      <w:r w:rsidRPr="004A29D4">
        <w:rPr>
          <w:rFonts w:ascii="Century Gothic" w:hAnsi="Century Gothic"/>
          <w:sz w:val="26"/>
          <w:szCs w:val="26"/>
        </w:rPr>
        <w:t xml:space="preserve"> Proponer a la Junta el Programa de Formación, Especialización, Capacitación, Actualización, Profesionalización y Desarrollo del personal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III.-</w:t>
      </w:r>
      <w:r w:rsidRPr="004A29D4">
        <w:rPr>
          <w:rFonts w:ascii="Century Gothic" w:hAnsi="Century Gothic"/>
          <w:sz w:val="26"/>
          <w:szCs w:val="26"/>
        </w:rPr>
        <w:t xml:space="preserve"> Auxiliar en la preparación del proyecto de convocatoria de los concursos de oposición para el ingreso y promoción al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Auxiliar en la aplicación de los exámenes de oposición a los candidatos para el ingreso y promoción del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Las que le corresponden y se establecen en el Reglamento Interior y demás disposiciones de este Estatuto; y </w:t>
      </w:r>
    </w:p>
    <w:p w:rsid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VI.-</w:t>
      </w:r>
      <w:r w:rsidRPr="004A29D4">
        <w:rPr>
          <w:rFonts w:ascii="Century Gothic" w:hAnsi="Century Gothic"/>
          <w:sz w:val="26"/>
          <w:szCs w:val="26"/>
        </w:rPr>
        <w:t xml:space="preserve"> Las demás que le encomiende la Junta o el Presidente.  </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TÍTULO SEGUNDO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DEL INGRESO AL TRIBUNAL</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CAPÍTULO PRIMERO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 LOS CONCURSOS DE OPOSICIÓN Y DE LOS NOMBRAMIENTOS</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12.-</w:t>
      </w:r>
      <w:r w:rsidRPr="004A29D4">
        <w:rPr>
          <w:rFonts w:ascii="Century Gothic" w:hAnsi="Century Gothic"/>
          <w:sz w:val="26"/>
          <w:szCs w:val="26"/>
        </w:rPr>
        <w:t xml:space="preserve"> La celebración y organización de los concursos de oposición para los cargos a que se refiere el artículo 13 del presente Estatuto, se realizará en los términos que determine la Junta en la convocatoria respectiva.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13.-</w:t>
      </w:r>
      <w:r w:rsidRPr="004A29D4">
        <w:rPr>
          <w:rFonts w:ascii="Century Gothic" w:hAnsi="Century Gothic"/>
          <w:sz w:val="26"/>
          <w:szCs w:val="26"/>
        </w:rPr>
        <w:t xml:space="preserve"> Para ingresar al Tribunal se aplicará concurso de oposición para los cargos que comprendan los niveles de Secretario de Estudio y Cuenta, Secretario de Acuerdos, Actuario, Oficial Jurisdiccional y de Partes. El proceso de selección iniciará con la emisión de la convocatoria interna entre los Servidores Públicos del Tribunal.  De no existir candidatos idóneos para la ocupación de las plazas, podrá emitirse una convocatoria abierta y, de persistir lo anterior, la Junta podrá realizar, de manera directa, las designaciones correspondientes. La selección se realizará mediante la aplicación de exámenes psicométricos, de conocimientos teóricos y prácticos sobre la materia competencia del tribunal. Para ingresar al servicio será indispensable que los candidatos cumplan con los requisitos de selección, así como la obtención de un dictamen favorable. En casos excepcionales, podrán ingresar al Tribunal sin concurso, aquellos candidatos que cuenten con conocimientos, experiencia y trayectoria laboral destacada, previo el cumplimiento de los requisitos de Ley.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14.-</w:t>
      </w:r>
      <w:r w:rsidRPr="004A29D4">
        <w:rPr>
          <w:rFonts w:ascii="Century Gothic" w:hAnsi="Century Gothic"/>
          <w:sz w:val="26"/>
          <w:szCs w:val="26"/>
        </w:rPr>
        <w:t xml:space="preserve"> El concurso de oposición se desarrollará conforme a las siguientes reglas: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 La Junta emitirá la convocatoria, la cual deberá contener: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w:t>
      </w:r>
      <w:r w:rsidRPr="004A29D4">
        <w:rPr>
          <w:rFonts w:ascii="Century Gothic" w:hAnsi="Century Gothic"/>
          <w:sz w:val="26"/>
          <w:szCs w:val="26"/>
        </w:rPr>
        <w:t xml:space="preserve">  La indicación si el concurso de oposición es interno o abierto;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b)</w:t>
      </w:r>
      <w:r w:rsidRPr="004A29D4">
        <w:rPr>
          <w:rFonts w:ascii="Century Gothic" w:hAnsi="Century Gothic"/>
          <w:sz w:val="26"/>
          <w:szCs w:val="26"/>
        </w:rPr>
        <w:t xml:space="preserve"> Si el concurso es interno, la convocatoria se publicará en los medios que sean aprobados para tal efecto, así como en la página electrónica del Tribunal; si el concurso es abierto, además de ser publicada en los medios </w:t>
      </w:r>
      <w:r w:rsidRPr="004A29D4">
        <w:rPr>
          <w:rFonts w:ascii="Century Gothic" w:hAnsi="Century Gothic"/>
          <w:sz w:val="26"/>
          <w:szCs w:val="26"/>
        </w:rPr>
        <w:lastRenderedPageBreak/>
        <w:t xml:space="preserve">aprobados y en la página electrónica del Tribunal, se publicará, por una sola vez, en uno de los diarios de mayor circulación del Estado de Coahuila de Zaragoza.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c)</w:t>
      </w:r>
      <w:r w:rsidRPr="004A29D4">
        <w:rPr>
          <w:rFonts w:ascii="Century Gothic" w:hAnsi="Century Gothic"/>
          <w:sz w:val="26"/>
          <w:szCs w:val="26"/>
        </w:rPr>
        <w:t xml:space="preserve"> Deberá señalar las categorías y número de vacantes sujetas a concurso, el lugar, día y hora en que se llevarán a cabo los exámenes, así como el plazo, lugar de inscripción y demás aspectos que se estimen necesarios;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d)</w:t>
      </w:r>
      <w:r w:rsidRPr="004A29D4">
        <w:rPr>
          <w:rFonts w:ascii="Century Gothic" w:hAnsi="Century Gothic"/>
          <w:sz w:val="26"/>
          <w:szCs w:val="26"/>
        </w:rPr>
        <w:t xml:space="preserve"> Deberá contener la indicación para los aspirantes de que, al momento llevar a cabo el registro correspondiente, se les asignará un número de folio, el cual les permitirá continuar con los trámites respectivos;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II.-</w:t>
      </w:r>
      <w:r w:rsidRPr="004A29D4">
        <w:rPr>
          <w:rFonts w:ascii="Century Gothic" w:hAnsi="Century Gothic"/>
          <w:sz w:val="26"/>
          <w:szCs w:val="26"/>
        </w:rPr>
        <w:t xml:space="preserve">Los aspirantes inscritos deberán presentar los exámenes que sean elaborados conforme a los Lineamientos que para tal efecto emita la Junta;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III.-</w:t>
      </w:r>
      <w:r w:rsidRPr="004A29D4">
        <w:rPr>
          <w:rFonts w:ascii="Century Gothic" w:hAnsi="Century Gothic"/>
          <w:sz w:val="26"/>
          <w:szCs w:val="26"/>
        </w:rPr>
        <w:t xml:space="preserve"> La Junta, además de los exámenes a que se refiere la fracción II de este artículo, tomará en consideración la formación académica, la experiencia profesional, así como los méritos laborales de cada aspirante, a fin de emitir un resultado integral de evaluación, que abarque las competencias personales y laborales que se requieran para el desempeño de los cargos a ocupar.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Una vez concluida la evaluación, la Junta elaborará el acta correspondiente. En caso de presentarse cualquier situación no prevista, la Junta determinará lo conducente.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15.-</w:t>
      </w:r>
      <w:r>
        <w:rPr>
          <w:rFonts w:ascii="Century Gothic" w:hAnsi="Century Gothic"/>
          <w:b/>
          <w:sz w:val="26"/>
          <w:szCs w:val="26"/>
        </w:rPr>
        <w:t xml:space="preserve"> </w:t>
      </w:r>
      <w:r w:rsidRPr="004A29D4">
        <w:rPr>
          <w:rFonts w:ascii="Century Gothic" w:hAnsi="Century Gothic"/>
          <w:sz w:val="26"/>
          <w:szCs w:val="26"/>
        </w:rPr>
        <w:t xml:space="preserve">La Junta, una vez concluida la evaluación a que se refiere el artículo 14 de este Estatuto, llevará a cabo la publicación de los números de folio que se hubieren asignado previamente a los concursantes que resultaren seleccionados, y comunicará lo conducente a éstos, a través del correo electrónico que para tal efecto hubieren proporcionado, hasta que el dictamen correspondiente se encuentre firme.  </w:t>
      </w:r>
    </w:p>
    <w:p w:rsid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16.-</w:t>
      </w:r>
      <w:r w:rsidRPr="004A29D4">
        <w:rPr>
          <w:rFonts w:ascii="Century Gothic" w:hAnsi="Century Gothic"/>
          <w:sz w:val="26"/>
          <w:szCs w:val="26"/>
        </w:rPr>
        <w:t xml:space="preserve"> Una vez seleccionado el servidor público Jurisdiccional, de conformidad con la Ley Orgánica será nombrado por el Pleno, luego de que se hayan cumplido los requisitos y procedimientos correspondientes.  </w:t>
      </w:r>
    </w:p>
    <w:p w:rsidR="00984DEF" w:rsidRPr="004A29D4" w:rsidRDefault="00984DEF" w:rsidP="003946A4">
      <w:pPr>
        <w:spacing w:after="200"/>
        <w:jc w:val="both"/>
        <w:rPr>
          <w:rFonts w:ascii="Century Gothic" w:hAnsi="Century Gothic"/>
          <w:sz w:val="26"/>
          <w:szCs w:val="26"/>
        </w:rPr>
      </w:pP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TÍTULO TERCERO</w:t>
      </w:r>
    </w:p>
    <w:p w:rsidR="00C31E39"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DEL DESARROLLO Y PROMOCIÓN</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 xml:space="preserve"> DE LOS MIEMBROS DEL SERVICIO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CAPÍTULO PRIMERO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GENERALIDADES</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17.-</w:t>
      </w:r>
      <w:r w:rsidRPr="004A29D4">
        <w:rPr>
          <w:rFonts w:ascii="Century Gothic" w:hAnsi="Century Gothic"/>
          <w:sz w:val="26"/>
          <w:szCs w:val="26"/>
        </w:rPr>
        <w:t xml:space="preserve"> El presente Título tiene como finalidad establecer las bases para que los miembros del Servicio, cuenten con los instrumentos y mecanismos necesarios para desarrollar el Servicio, que les permita la especialización, actualización, capacitación y profesionalización para el mejor desempeño de su función. Para el mejoramiento profesional de los Miembros del Servicio, </w:t>
      </w:r>
      <w:r w:rsidRPr="004A29D4">
        <w:rPr>
          <w:rFonts w:ascii="Century Gothic" w:hAnsi="Century Gothic"/>
          <w:sz w:val="26"/>
          <w:szCs w:val="26"/>
        </w:rPr>
        <w:lastRenderedPageBreak/>
        <w:t xml:space="preserve">la junta ejecutará los programas, cursos y planes correspondientes conforme a las disposiciones aplicables.  </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CAPÍTULO SEGUNDO</w:t>
      </w:r>
    </w:p>
    <w:p w:rsidR="004A29D4" w:rsidRPr="004A29D4" w:rsidRDefault="004A29D4" w:rsidP="003946A4">
      <w:pPr>
        <w:spacing w:after="200"/>
        <w:jc w:val="center"/>
        <w:rPr>
          <w:rFonts w:ascii="Century Gothic" w:hAnsi="Century Gothic"/>
          <w:sz w:val="26"/>
          <w:szCs w:val="26"/>
        </w:rPr>
      </w:pPr>
      <w:r w:rsidRPr="004A29D4">
        <w:rPr>
          <w:rFonts w:ascii="Century Gothic" w:hAnsi="Century Gothic"/>
          <w:b/>
          <w:sz w:val="26"/>
          <w:szCs w:val="26"/>
        </w:rPr>
        <w:t>DE LA CAPACITACIÓN</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18.-</w:t>
      </w:r>
      <w:r w:rsidRPr="004A29D4">
        <w:rPr>
          <w:rFonts w:ascii="Century Gothic" w:hAnsi="Century Gothic"/>
          <w:sz w:val="26"/>
          <w:szCs w:val="26"/>
        </w:rPr>
        <w:t xml:space="preserve"> Los cursos serán impartidos por el Tribunal o por las instituciones académicas que tengan celebrado un convenio con éste, conforme a las disposiciones aplicables, así como a los Lineamientos que al efecto se emitan, y se desarrollarán en el número de horas que determine la Junta, en la primera sesión del año calendario correspondiente.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19.-</w:t>
      </w:r>
      <w:r w:rsidRPr="004A29D4">
        <w:rPr>
          <w:rFonts w:ascii="Century Gothic" w:hAnsi="Century Gothic"/>
          <w:sz w:val="26"/>
          <w:szCs w:val="26"/>
        </w:rPr>
        <w:t xml:space="preserve"> El Director del Servicio Profesional de Carrera remitirá, a más tardar dentro de los quince días siguientes a la conclusión del curso, copia de la constancia o del documento  que avale los cursos que hayan recibido o impartido los Servidores Públicos del Tribunal.  </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CAPÍTULO TERCERO</w:t>
      </w:r>
    </w:p>
    <w:p w:rsidR="004A29D4" w:rsidRPr="004A29D4" w:rsidRDefault="004A29D4" w:rsidP="003946A4">
      <w:pPr>
        <w:spacing w:after="200"/>
        <w:jc w:val="center"/>
        <w:rPr>
          <w:rFonts w:ascii="Century Gothic" w:hAnsi="Century Gothic"/>
          <w:b/>
          <w:sz w:val="26"/>
          <w:szCs w:val="26"/>
        </w:rPr>
      </w:pPr>
      <w:r w:rsidRPr="004A29D4">
        <w:rPr>
          <w:rFonts w:ascii="Century Gothic" w:hAnsi="Century Gothic"/>
          <w:b/>
          <w:sz w:val="26"/>
          <w:szCs w:val="26"/>
        </w:rPr>
        <w:t>DE LA EVALUACIÓN AL DESEMPEÑO</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20.-</w:t>
      </w:r>
      <w:r w:rsidRPr="004A29D4">
        <w:rPr>
          <w:rFonts w:ascii="Century Gothic" w:hAnsi="Century Gothic"/>
          <w:sz w:val="26"/>
          <w:szCs w:val="26"/>
        </w:rPr>
        <w:t xml:space="preserve"> La evaluación al desempeño es el método a través del cual se miden los aspectos cualitativos y cuantitativos del cumplimiento de las funciones y metas asignadas a los Miembros del Servicio, con relación a sus habilidades, capacidades y aportaciones para el mejoramiento de sus responsabilidades.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21.-</w:t>
      </w:r>
      <w:r w:rsidRPr="004A29D4">
        <w:rPr>
          <w:rFonts w:ascii="Century Gothic" w:hAnsi="Century Gothic"/>
          <w:sz w:val="26"/>
          <w:szCs w:val="26"/>
        </w:rPr>
        <w:t xml:space="preserve"> La evaluación al desempeño se llevará a cabo anualmente por los Magistrados titulares de cada ponencia, tomando en consideración la ética, factores de eficacia y eficiencia, principios de actuación, desarrollo laboral y resultados globales de los Miembros del Servicio. Este tendrá como principales objetivos los siguientes: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w:t>
      </w:r>
      <w:r w:rsidRPr="004A29D4">
        <w:rPr>
          <w:rFonts w:ascii="Century Gothic" w:hAnsi="Century Gothic"/>
          <w:sz w:val="26"/>
          <w:szCs w:val="26"/>
        </w:rPr>
        <w:t xml:space="preserve"> Evaluar el desempeño de los Miembros del Servicio en el cumplimiento de sus funciones, tomando en cuenta las metas programáticas establecidas para determinar la permanencia en el servicio;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w:t>
      </w:r>
      <w:r w:rsidRPr="004A29D4">
        <w:rPr>
          <w:rFonts w:ascii="Century Gothic" w:hAnsi="Century Gothic"/>
          <w:sz w:val="26"/>
          <w:szCs w:val="26"/>
        </w:rPr>
        <w:t xml:space="preserve"> Determinar, en su caso, el otorgamiento de estímulos al desempeño destacado;</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III.-</w:t>
      </w:r>
      <w:r w:rsidRPr="004A29D4">
        <w:rPr>
          <w:rFonts w:ascii="Century Gothic" w:hAnsi="Century Gothic"/>
          <w:sz w:val="26"/>
          <w:szCs w:val="26"/>
        </w:rPr>
        <w:t xml:space="preserve"> Adoptar medidas correctivas para el desempeño no destacado; y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Las demás que determine la Junta.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 xml:space="preserve">El procedimiento de evaluación contemplará un método que sirva para calificar, bajo principios de imparcialidad y objetividad, los distintos aspectos del ejercicio laboral de los miembros del servicio.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b/>
          <w:sz w:val="26"/>
          <w:szCs w:val="26"/>
        </w:rPr>
        <w:t>Artículo 22.-</w:t>
      </w:r>
      <w:r w:rsidRPr="004A29D4">
        <w:rPr>
          <w:rFonts w:ascii="Century Gothic" w:hAnsi="Century Gothic"/>
          <w:sz w:val="26"/>
          <w:szCs w:val="26"/>
        </w:rPr>
        <w:t xml:space="preserve"> Los criterios de evaluación al desempeño serán elaborados por la Junta,  los cuales deberán considerar: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w:t>
      </w:r>
      <w:r>
        <w:rPr>
          <w:rFonts w:ascii="Century Gothic" w:hAnsi="Century Gothic"/>
          <w:sz w:val="26"/>
          <w:szCs w:val="26"/>
        </w:rPr>
        <w:t xml:space="preserve"> </w:t>
      </w:r>
      <w:r w:rsidRPr="004A29D4">
        <w:rPr>
          <w:rFonts w:ascii="Century Gothic" w:hAnsi="Century Gothic"/>
          <w:sz w:val="26"/>
          <w:szCs w:val="26"/>
        </w:rPr>
        <w:t xml:space="preserve">Las competencias personales y laborales;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lastRenderedPageBreak/>
        <w:t>II.-</w:t>
      </w:r>
      <w:r w:rsidRPr="004A29D4">
        <w:rPr>
          <w:rFonts w:ascii="Century Gothic" w:hAnsi="Century Gothic"/>
          <w:sz w:val="26"/>
          <w:szCs w:val="26"/>
        </w:rPr>
        <w:t xml:space="preserve"> Cumplimiento y desarrollo eficiente de las actividades programadas;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III.-</w:t>
      </w:r>
      <w:r w:rsidRPr="004A29D4">
        <w:rPr>
          <w:rFonts w:ascii="Century Gothic" w:hAnsi="Century Gothic"/>
          <w:sz w:val="26"/>
          <w:szCs w:val="26"/>
        </w:rPr>
        <w:t xml:space="preserve"> Asistencia y puntualidad;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IV.-</w:t>
      </w:r>
      <w:r w:rsidRPr="004A29D4">
        <w:rPr>
          <w:rFonts w:ascii="Century Gothic" w:hAnsi="Century Gothic"/>
          <w:sz w:val="26"/>
          <w:szCs w:val="26"/>
        </w:rPr>
        <w:t xml:space="preserve"> Rendimiento y productividad; </w:t>
      </w:r>
    </w:p>
    <w:p w:rsidR="004A29D4" w:rsidRPr="004A29D4" w:rsidRDefault="004A29D4" w:rsidP="003946A4">
      <w:pPr>
        <w:spacing w:after="200"/>
        <w:ind w:left="567"/>
        <w:jc w:val="both"/>
        <w:rPr>
          <w:rFonts w:ascii="Century Gothic" w:hAnsi="Century Gothic"/>
          <w:sz w:val="26"/>
          <w:szCs w:val="26"/>
        </w:rPr>
      </w:pPr>
      <w:r w:rsidRPr="004A29D4">
        <w:rPr>
          <w:rFonts w:ascii="Century Gothic" w:hAnsi="Century Gothic"/>
          <w:b/>
          <w:sz w:val="26"/>
          <w:szCs w:val="26"/>
        </w:rPr>
        <w:t>V.-</w:t>
      </w:r>
      <w:r w:rsidRPr="004A29D4">
        <w:rPr>
          <w:rFonts w:ascii="Century Gothic" w:hAnsi="Century Gothic"/>
          <w:sz w:val="26"/>
          <w:szCs w:val="26"/>
        </w:rPr>
        <w:t xml:space="preserve"> Actualización en el desarrollo profesional;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VI.-</w:t>
      </w:r>
      <w:r w:rsidRPr="004A29D4">
        <w:rPr>
          <w:rFonts w:ascii="Century Gothic" w:hAnsi="Century Gothic"/>
          <w:sz w:val="26"/>
          <w:szCs w:val="26"/>
        </w:rPr>
        <w:t xml:space="preserve"> Pertinencia y oportunidad en la actuación; y </w:t>
      </w:r>
    </w:p>
    <w:p w:rsidR="004A29D4" w:rsidRPr="004A29D4" w:rsidRDefault="004A29D4" w:rsidP="003946A4">
      <w:pPr>
        <w:spacing w:after="200"/>
        <w:ind w:left="567"/>
        <w:jc w:val="both"/>
        <w:rPr>
          <w:rFonts w:ascii="Century Gothic" w:hAnsi="Century Gothic"/>
          <w:sz w:val="26"/>
          <w:szCs w:val="26"/>
        </w:rPr>
      </w:pPr>
      <w:r w:rsidRPr="005E2D27">
        <w:rPr>
          <w:rFonts w:ascii="Century Gothic" w:hAnsi="Century Gothic"/>
          <w:b/>
          <w:sz w:val="26"/>
          <w:szCs w:val="26"/>
        </w:rPr>
        <w:t>VII.</w:t>
      </w:r>
      <w:r w:rsidRPr="004A29D4">
        <w:rPr>
          <w:rFonts w:ascii="Century Gothic" w:hAnsi="Century Gothic"/>
          <w:sz w:val="26"/>
          <w:szCs w:val="26"/>
        </w:rPr>
        <w:t xml:space="preserve">- Las demás que determine la Junta.  </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23.-</w:t>
      </w:r>
      <w:r w:rsidRPr="004A29D4">
        <w:rPr>
          <w:rFonts w:ascii="Century Gothic" w:hAnsi="Century Gothic"/>
          <w:sz w:val="26"/>
          <w:szCs w:val="26"/>
        </w:rPr>
        <w:t xml:space="preserve"> La Junta definirá los procedimientos y mecanismos para llevar a cabo la evaluación al desempeño de los Servidores Públicos que formen parte del Servicio.  </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24.-</w:t>
      </w:r>
      <w:r w:rsidRPr="004A29D4">
        <w:rPr>
          <w:rFonts w:ascii="Century Gothic" w:hAnsi="Century Gothic"/>
          <w:sz w:val="26"/>
          <w:szCs w:val="26"/>
        </w:rPr>
        <w:t xml:space="preserve"> La Junta podrá entregar reconocimientos a los Miembros del Servicio que hubieren tenido un desempeño sobresaliente, en términos de la evaluación respectiva.  </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CAPÍTULO CUARTO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 LOS ESTÍMULOS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25.-</w:t>
      </w:r>
      <w:r w:rsidRPr="004A29D4">
        <w:rPr>
          <w:rFonts w:ascii="Century Gothic" w:hAnsi="Century Gothic"/>
          <w:sz w:val="26"/>
          <w:szCs w:val="26"/>
        </w:rPr>
        <w:t xml:space="preserve"> Los Miembros del Servicio podrán ser sujetos de estímulos, reconocimientos e incentivos por sus méritos en su cargo o puesto. Para su otorgamiento deberá observarse lo siguiente: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w:t>
      </w:r>
      <w:r w:rsidRPr="004A29D4">
        <w:rPr>
          <w:rFonts w:ascii="Century Gothic" w:hAnsi="Century Gothic"/>
          <w:sz w:val="26"/>
          <w:szCs w:val="26"/>
        </w:rPr>
        <w:t xml:space="preserve"> La disponibilidad presupuestaria con que cuente el Tribunal;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w:t>
      </w:r>
      <w:r w:rsidRPr="004A29D4">
        <w:rPr>
          <w:rFonts w:ascii="Century Gothic" w:hAnsi="Century Gothic"/>
          <w:sz w:val="26"/>
          <w:szCs w:val="26"/>
        </w:rPr>
        <w:t xml:space="preserve"> El desempeño sobresaliente del Servidor Público obtenido durante el año calendario evaluado por el Magistrado Titular de cada ponencia;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III.-</w:t>
      </w:r>
      <w:r w:rsidRPr="004A29D4">
        <w:rPr>
          <w:rFonts w:ascii="Century Gothic" w:hAnsi="Century Gothic"/>
          <w:sz w:val="26"/>
          <w:szCs w:val="26"/>
        </w:rPr>
        <w:t xml:space="preserve"> Los parámetros o criterios establecidos por la Junta.  </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26.-</w:t>
      </w:r>
      <w:r w:rsidRPr="004A29D4">
        <w:rPr>
          <w:rFonts w:ascii="Century Gothic" w:hAnsi="Century Gothic"/>
          <w:sz w:val="26"/>
          <w:szCs w:val="26"/>
        </w:rPr>
        <w:t xml:space="preserve"> En forma anual, la Junta establecerá la metodología y criterio de las valoraciones y las bases para el otorgamiento de estímulos, reconocimientos e incentivos a los miembros del Servicio, entre las cuales se incluirán el desempeño y la eficiencia, responsabilidad, puntualidad y las aportaciones, servicios e innovaciones relevantes para el Tribunal.  </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TÍTULO CUARTO</w:t>
      </w:r>
    </w:p>
    <w:p w:rsidR="00C31E39" w:rsidRDefault="004A29D4" w:rsidP="003946A4">
      <w:pPr>
        <w:spacing w:after="200"/>
        <w:jc w:val="center"/>
        <w:rPr>
          <w:rFonts w:ascii="Century Gothic" w:hAnsi="Century Gothic"/>
          <w:b/>
          <w:sz w:val="26"/>
          <w:szCs w:val="26"/>
        </w:rPr>
      </w:pPr>
      <w:r w:rsidRPr="002A7E1A">
        <w:rPr>
          <w:rFonts w:ascii="Century Gothic" w:hAnsi="Century Gothic"/>
          <w:b/>
          <w:sz w:val="26"/>
          <w:szCs w:val="26"/>
        </w:rPr>
        <w:t xml:space="preserve">DE LOS DERECHOS Y OBLIGACIONES </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 LOS MIEMBROS DEL SERVICIO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CAPÍTULO PRIMERO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 LOS DERECHOS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27.-</w:t>
      </w:r>
      <w:r w:rsidRPr="004A29D4">
        <w:rPr>
          <w:rFonts w:ascii="Century Gothic" w:hAnsi="Century Gothic"/>
          <w:sz w:val="26"/>
          <w:szCs w:val="26"/>
        </w:rPr>
        <w:t xml:space="preserve"> Los Miembros del Servicio tendrán los siguientes derechos: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w:t>
      </w:r>
      <w:r w:rsidRPr="004A29D4">
        <w:rPr>
          <w:rFonts w:ascii="Century Gothic" w:hAnsi="Century Gothic"/>
          <w:sz w:val="26"/>
          <w:szCs w:val="26"/>
        </w:rPr>
        <w:t xml:space="preserve"> Tener estabilidad en el Servicio, en los términos y bajo las condiciones que prevé el Estatuto;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lastRenderedPageBreak/>
        <w:t>II.-</w:t>
      </w:r>
      <w:r w:rsidRPr="004A29D4">
        <w:rPr>
          <w:rFonts w:ascii="Century Gothic" w:hAnsi="Century Gothic"/>
          <w:sz w:val="26"/>
          <w:szCs w:val="26"/>
        </w:rPr>
        <w:t xml:space="preserve"> Recibir la formación en el Servicio en los términos y bajo las condiciones que prevé el Estatuto;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III.-</w:t>
      </w:r>
      <w:r w:rsidRPr="004A29D4">
        <w:rPr>
          <w:rFonts w:ascii="Century Gothic" w:hAnsi="Century Gothic"/>
          <w:sz w:val="26"/>
          <w:szCs w:val="26"/>
        </w:rPr>
        <w:t xml:space="preserve"> Acceder a un puesto distinto al que ostente, cuando se hayan cumplido los requisitos y procedimientos descritos en este ordenamiento;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IV.-</w:t>
      </w:r>
      <w:r w:rsidRPr="004A29D4">
        <w:rPr>
          <w:rFonts w:ascii="Century Gothic" w:hAnsi="Century Gothic"/>
          <w:sz w:val="26"/>
          <w:szCs w:val="26"/>
        </w:rPr>
        <w:t xml:space="preserve"> Recibir los resultados de las evaluaciones al desempeño;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w:t>
      </w:r>
      <w:r w:rsidRPr="004A29D4">
        <w:rPr>
          <w:rFonts w:ascii="Century Gothic" w:hAnsi="Century Gothic"/>
          <w:sz w:val="26"/>
          <w:szCs w:val="26"/>
        </w:rPr>
        <w:t xml:space="preserve"> Recibir los estímulos o incentivos que señala el presente Estatuto, cuando su desempeño laboral sea sobresaliente; y </w:t>
      </w:r>
    </w:p>
    <w:p w:rsid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VI.-</w:t>
      </w:r>
      <w:r w:rsidRPr="004A29D4">
        <w:rPr>
          <w:rFonts w:ascii="Century Gothic" w:hAnsi="Century Gothic"/>
          <w:sz w:val="26"/>
          <w:szCs w:val="26"/>
        </w:rPr>
        <w:t xml:space="preserve"> Las demás que se deriven de las disposiciones complementarias al presente Estatuto.  </w:t>
      </w:r>
    </w:p>
    <w:p w:rsidR="00984DEF" w:rsidRDefault="00984DEF" w:rsidP="003946A4">
      <w:pPr>
        <w:spacing w:after="200"/>
        <w:ind w:left="567"/>
        <w:jc w:val="both"/>
        <w:rPr>
          <w:rFonts w:ascii="Century Gothic" w:hAnsi="Century Gothic"/>
          <w:sz w:val="26"/>
          <w:szCs w:val="26"/>
        </w:rPr>
      </w:pPr>
    </w:p>
    <w:p w:rsidR="00984DEF" w:rsidRPr="004A29D4" w:rsidRDefault="00984DEF" w:rsidP="003946A4">
      <w:pPr>
        <w:spacing w:after="200"/>
        <w:ind w:left="567"/>
        <w:jc w:val="both"/>
        <w:rPr>
          <w:rFonts w:ascii="Century Gothic" w:hAnsi="Century Gothic"/>
          <w:sz w:val="26"/>
          <w:szCs w:val="26"/>
        </w:rPr>
      </w:pP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CAPÍTULO SEGUNDO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 LAS OBLIGACIONES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28.-</w:t>
      </w:r>
      <w:r w:rsidRPr="004A29D4">
        <w:rPr>
          <w:rFonts w:ascii="Century Gothic" w:hAnsi="Century Gothic"/>
          <w:sz w:val="26"/>
          <w:szCs w:val="26"/>
        </w:rPr>
        <w:t xml:space="preserve"> los Miembros del Servicio tendrán las siguientes obligaciones: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w:t>
      </w:r>
      <w:r w:rsidRPr="004A29D4">
        <w:rPr>
          <w:rFonts w:ascii="Century Gothic" w:hAnsi="Century Gothic"/>
          <w:sz w:val="26"/>
          <w:szCs w:val="26"/>
        </w:rPr>
        <w:t xml:space="preserve"> Asistir a los eventos de capacitación y actividades inherentes al programa de formación y desarrollo que promueva el Tribunal;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w:t>
      </w:r>
      <w:r w:rsidRPr="004A29D4">
        <w:rPr>
          <w:rFonts w:ascii="Century Gothic" w:hAnsi="Century Gothic"/>
          <w:sz w:val="26"/>
          <w:szCs w:val="26"/>
        </w:rPr>
        <w:t xml:space="preserve"> Dar aviso por escrito de inmediato al Magistrado que corresponda, con copia al Director del Servicio Profesional de Carrera, salvo caso fortuito, fuerza mayor o a las necesidades del servicio que le impidan concurrir a las actividades inherentes contempladas en el programa de formación y desarrollo;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III.-</w:t>
      </w:r>
      <w:r w:rsidRPr="004A29D4">
        <w:rPr>
          <w:rFonts w:ascii="Century Gothic" w:hAnsi="Century Gothic"/>
          <w:sz w:val="26"/>
          <w:szCs w:val="26"/>
        </w:rPr>
        <w:t xml:space="preserve"> Actuar con sujeción a los principios previstos por el artículo 5 de este Estatuto, así como a los principios establecidos en la Ley Orgánica del Tribunal y el Reglamento Interior;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IV.-</w:t>
      </w:r>
      <w:r w:rsidRPr="004A29D4">
        <w:rPr>
          <w:rFonts w:ascii="Century Gothic" w:hAnsi="Century Gothic"/>
          <w:sz w:val="26"/>
          <w:szCs w:val="26"/>
        </w:rPr>
        <w:t xml:space="preserve"> Participar en las fases o procesos establecidos en el Estatuto;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w:t>
      </w:r>
      <w:r w:rsidRPr="004A29D4">
        <w:rPr>
          <w:rFonts w:ascii="Century Gothic" w:hAnsi="Century Gothic"/>
          <w:sz w:val="26"/>
          <w:szCs w:val="26"/>
        </w:rPr>
        <w:t xml:space="preserve"> Desempeñar con eficiencia y eficacia las funciones inherentes al puesto asignado;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VI.-</w:t>
      </w:r>
      <w:r w:rsidRPr="004A29D4">
        <w:rPr>
          <w:rFonts w:ascii="Century Gothic" w:hAnsi="Century Gothic"/>
          <w:sz w:val="26"/>
          <w:szCs w:val="26"/>
        </w:rPr>
        <w:t xml:space="preserve"> Aprobar la evaluación al desempeño; y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VII.-</w:t>
      </w:r>
      <w:r w:rsidRPr="004A29D4">
        <w:rPr>
          <w:rFonts w:ascii="Century Gothic" w:hAnsi="Century Gothic"/>
          <w:sz w:val="26"/>
          <w:szCs w:val="26"/>
        </w:rPr>
        <w:t xml:space="preserve"> Las demás que le imponga la legislación y normatividad aplicable. </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TÍTULO QUINTO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DEL RETIRO DE LOS MIEMBROS DEL SERVICIO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CAPÍTULO ÚNICO</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29.-</w:t>
      </w:r>
      <w:r w:rsidRPr="004A29D4">
        <w:rPr>
          <w:rFonts w:ascii="Century Gothic" w:hAnsi="Century Gothic"/>
          <w:sz w:val="26"/>
          <w:szCs w:val="26"/>
        </w:rPr>
        <w:t xml:space="preserve"> El retiro por separación ordinaria de los Miembros del servicio será: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w:t>
      </w:r>
      <w:r w:rsidRPr="004A29D4">
        <w:rPr>
          <w:rFonts w:ascii="Century Gothic" w:hAnsi="Century Gothic"/>
          <w:sz w:val="26"/>
          <w:szCs w:val="26"/>
        </w:rPr>
        <w:t xml:space="preserve"> Por renuncia;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lastRenderedPageBreak/>
        <w:t>II.-</w:t>
      </w:r>
      <w:r w:rsidRPr="004A29D4">
        <w:rPr>
          <w:rFonts w:ascii="Century Gothic" w:hAnsi="Century Gothic"/>
          <w:sz w:val="26"/>
          <w:szCs w:val="26"/>
        </w:rPr>
        <w:t xml:space="preserve"> Por incapacidad permanente para el desempeño de sus funciones, declarada en términos de lo dispuesto en el Estatuto Jurídico para los Trabajadores al Servicio del Estado,  la Ley Federal de Trabajadores al Servicio del Estado, reglamentaria del apartado B del artículo 123 Constitucional y demás disposiciones aplicables;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III.-</w:t>
      </w:r>
      <w:r w:rsidRPr="004A29D4">
        <w:rPr>
          <w:rFonts w:ascii="Century Gothic" w:hAnsi="Century Gothic"/>
          <w:sz w:val="26"/>
          <w:szCs w:val="26"/>
        </w:rPr>
        <w:t xml:space="preserve"> Por pensión; 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IV.-</w:t>
      </w:r>
      <w:r w:rsidRPr="004A29D4">
        <w:rPr>
          <w:rFonts w:ascii="Century Gothic" w:hAnsi="Century Gothic"/>
          <w:sz w:val="26"/>
          <w:szCs w:val="26"/>
        </w:rPr>
        <w:t xml:space="preserve"> Muerte.  </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30.-</w:t>
      </w:r>
      <w:r w:rsidRPr="004A29D4">
        <w:rPr>
          <w:rFonts w:ascii="Century Gothic" w:hAnsi="Century Gothic"/>
          <w:sz w:val="26"/>
          <w:szCs w:val="26"/>
        </w:rPr>
        <w:t xml:space="preserve"> El retiro por separación extraordinaria de los Miembros del Servicio se actualizará por:</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 xml:space="preserve"> I.-</w:t>
      </w:r>
      <w:r w:rsidR="005E2D27">
        <w:rPr>
          <w:rFonts w:ascii="Century Gothic" w:hAnsi="Century Gothic"/>
          <w:b/>
          <w:sz w:val="26"/>
          <w:szCs w:val="26"/>
        </w:rPr>
        <w:t xml:space="preserve"> </w:t>
      </w:r>
      <w:r w:rsidRPr="004A29D4">
        <w:rPr>
          <w:rFonts w:ascii="Century Gothic" w:hAnsi="Century Gothic"/>
          <w:sz w:val="26"/>
          <w:szCs w:val="26"/>
        </w:rPr>
        <w:t xml:space="preserve">Faltar a los siguientes requisitos de permanencia en el servicio: </w:t>
      </w:r>
    </w:p>
    <w:p w:rsidR="004A29D4" w:rsidRPr="005E2D27" w:rsidRDefault="004A29D4" w:rsidP="003946A4">
      <w:pPr>
        <w:pStyle w:val="Prrafodelista"/>
        <w:numPr>
          <w:ilvl w:val="0"/>
          <w:numId w:val="12"/>
        </w:numPr>
        <w:spacing w:after="200"/>
        <w:ind w:left="1276" w:firstLine="0"/>
        <w:jc w:val="both"/>
        <w:rPr>
          <w:rFonts w:ascii="Century Gothic" w:hAnsi="Century Gothic"/>
          <w:sz w:val="26"/>
          <w:szCs w:val="26"/>
        </w:rPr>
      </w:pPr>
      <w:r w:rsidRPr="005E2D27">
        <w:rPr>
          <w:rFonts w:ascii="Century Gothic" w:hAnsi="Century Gothic"/>
          <w:sz w:val="26"/>
          <w:szCs w:val="26"/>
        </w:rPr>
        <w:t xml:space="preserve">Cuando un Miembro del Servicio no apruebe la evaluación al desempeño en dos ocasiones consecutivas en un periodo de dos años, o en tres ocasiones discontinuas. </w:t>
      </w:r>
    </w:p>
    <w:p w:rsidR="004A29D4" w:rsidRPr="005E2D27" w:rsidRDefault="004A29D4" w:rsidP="003946A4">
      <w:pPr>
        <w:pStyle w:val="Prrafodelista"/>
        <w:numPr>
          <w:ilvl w:val="0"/>
          <w:numId w:val="12"/>
        </w:numPr>
        <w:spacing w:after="200"/>
        <w:ind w:left="1276" w:firstLine="0"/>
        <w:jc w:val="both"/>
        <w:rPr>
          <w:rFonts w:ascii="Century Gothic" w:hAnsi="Century Gothic"/>
          <w:sz w:val="26"/>
          <w:szCs w:val="26"/>
        </w:rPr>
      </w:pPr>
      <w:r w:rsidRPr="005E2D27">
        <w:rPr>
          <w:rFonts w:ascii="Century Gothic" w:hAnsi="Century Gothic"/>
          <w:sz w:val="26"/>
          <w:szCs w:val="26"/>
        </w:rPr>
        <w:t xml:space="preserve">Cuando un Miembro del Servicio viole de forma sistemática los principios o disposiciones establecidos en este Estatuto, así como las disposiciones establecidas la Ley Orgánica y el Reglamento Interior.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w:t>
      </w:r>
      <w:r w:rsidRPr="004A29D4">
        <w:rPr>
          <w:rFonts w:ascii="Century Gothic" w:hAnsi="Century Gothic"/>
          <w:sz w:val="26"/>
          <w:szCs w:val="26"/>
        </w:rPr>
        <w:t xml:space="preserve"> Incurrir en faltas graves a juicio del Pleno; o  </w:t>
      </w:r>
    </w:p>
    <w:p w:rsidR="004A29D4" w:rsidRPr="004A29D4" w:rsidRDefault="004A29D4" w:rsidP="003946A4">
      <w:pPr>
        <w:spacing w:after="200"/>
        <w:ind w:left="567"/>
        <w:jc w:val="both"/>
        <w:rPr>
          <w:rFonts w:ascii="Century Gothic" w:hAnsi="Century Gothic"/>
          <w:sz w:val="26"/>
          <w:szCs w:val="26"/>
        </w:rPr>
      </w:pPr>
      <w:r w:rsidRPr="002A7E1A">
        <w:rPr>
          <w:rFonts w:ascii="Century Gothic" w:hAnsi="Century Gothic"/>
          <w:b/>
          <w:sz w:val="26"/>
          <w:szCs w:val="26"/>
        </w:rPr>
        <w:t>III.-</w:t>
      </w:r>
      <w:r w:rsidRPr="004A29D4">
        <w:rPr>
          <w:rFonts w:ascii="Century Gothic" w:hAnsi="Century Gothic"/>
          <w:sz w:val="26"/>
          <w:szCs w:val="26"/>
        </w:rPr>
        <w:t xml:space="preserve"> Por resolución que determine la destitución o inhabilitación del miembro del servicio, conforme a lo previsto en la Ley General de Responsabilidades Administrativas.</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TÍTULO SEXTO</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DE LOS FUNCIONARIOS ADMINISTRATIVOS</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CAPÍTULO ESPECIAL</w:t>
      </w:r>
    </w:p>
    <w:p w:rsidR="004A29D4" w:rsidRPr="002A7E1A" w:rsidRDefault="004A29D4" w:rsidP="003946A4">
      <w:pPr>
        <w:spacing w:after="200"/>
        <w:jc w:val="center"/>
        <w:rPr>
          <w:rFonts w:ascii="Century Gothic" w:hAnsi="Century Gothic"/>
          <w:b/>
          <w:sz w:val="26"/>
          <w:szCs w:val="26"/>
        </w:rPr>
      </w:pPr>
      <w:r w:rsidRPr="002A7E1A">
        <w:rPr>
          <w:rFonts w:ascii="Century Gothic" w:hAnsi="Century Gothic"/>
          <w:b/>
          <w:sz w:val="26"/>
          <w:szCs w:val="26"/>
        </w:rPr>
        <w:t>DISPOSICIONES GENERALES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31.-</w:t>
      </w:r>
      <w:r w:rsidRPr="004A29D4">
        <w:rPr>
          <w:rFonts w:ascii="Century Gothic" w:hAnsi="Century Gothic"/>
          <w:sz w:val="26"/>
          <w:szCs w:val="26"/>
        </w:rPr>
        <w:t xml:space="preserve"> Los funcionarios que desempeñen la actividad administrativa del Tribunal de conformidad con la Ley Orgánica y el Reglamento Interior, tendrán los mismos derechos y obligaciones relativas al Servicio Profesional de Carrera establecidas en este Estatuto. </w:t>
      </w:r>
    </w:p>
    <w:p w:rsidR="004A29D4" w:rsidRPr="004A29D4" w:rsidRDefault="004A29D4" w:rsidP="003946A4">
      <w:pPr>
        <w:spacing w:after="200"/>
        <w:jc w:val="both"/>
        <w:rPr>
          <w:rFonts w:ascii="Century Gothic" w:hAnsi="Century Gothic"/>
          <w:sz w:val="26"/>
          <w:szCs w:val="26"/>
        </w:rPr>
      </w:pPr>
      <w:r w:rsidRPr="004A29D4">
        <w:rPr>
          <w:rFonts w:ascii="Century Gothic" w:hAnsi="Century Gothic"/>
          <w:sz w:val="26"/>
          <w:szCs w:val="26"/>
        </w:rPr>
        <w:t>El reglamento Interior establecerá la organización y estructura de la parte administrativa del Tribunal.</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32.-</w:t>
      </w:r>
      <w:r w:rsidRPr="004A29D4">
        <w:rPr>
          <w:rFonts w:ascii="Century Gothic" w:hAnsi="Century Gothic"/>
          <w:sz w:val="26"/>
          <w:szCs w:val="26"/>
        </w:rPr>
        <w:t>La capacitación a los servidores públicos de las áreas administrativas, será acorde sus funciones.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Artículo 33.-</w:t>
      </w:r>
      <w:r w:rsidRPr="004A29D4">
        <w:rPr>
          <w:rFonts w:ascii="Century Gothic" w:hAnsi="Century Gothic"/>
          <w:sz w:val="26"/>
          <w:szCs w:val="26"/>
        </w:rPr>
        <w:t xml:space="preserve"> La evaluación al desempeño de los servidores administrativos será realizada por el titular de su adscripción. </w:t>
      </w:r>
    </w:p>
    <w:p w:rsidR="003946A4" w:rsidRDefault="003946A4" w:rsidP="003946A4">
      <w:pPr>
        <w:spacing w:after="200"/>
        <w:jc w:val="center"/>
        <w:rPr>
          <w:rFonts w:ascii="Century Gothic" w:hAnsi="Century Gothic"/>
          <w:b/>
          <w:sz w:val="26"/>
          <w:szCs w:val="26"/>
        </w:rPr>
      </w:pPr>
    </w:p>
    <w:p w:rsidR="003946A4" w:rsidRDefault="003946A4" w:rsidP="003946A4">
      <w:pPr>
        <w:spacing w:after="200"/>
        <w:jc w:val="center"/>
        <w:rPr>
          <w:rFonts w:ascii="Century Gothic" w:hAnsi="Century Gothic"/>
          <w:b/>
          <w:sz w:val="26"/>
          <w:szCs w:val="26"/>
        </w:rPr>
      </w:pPr>
    </w:p>
    <w:p w:rsidR="003946A4" w:rsidRDefault="003946A4" w:rsidP="003946A4">
      <w:pPr>
        <w:spacing w:after="200"/>
        <w:jc w:val="center"/>
        <w:rPr>
          <w:rFonts w:ascii="Century Gothic" w:hAnsi="Century Gothic"/>
          <w:b/>
          <w:sz w:val="26"/>
          <w:szCs w:val="26"/>
        </w:rPr>
      </w:pPr>
    </w:p>
    <w:p w:rsidR="004A29D4" w:rsidRPr="002A7E1A" w:rsidRDefault="004A29D4" w:rsidP="003946A4">
      <w:pPr>
        <w:spacing w:after="200"/>
        <w:jc w:val="center"/>
        <w:rPr>
          <w:rFonts w:ascii="Century Gothic" w:hAnsi="Century Gothic"/>
          <w:b/>
          <w:sz w:val="26"/>
          <w:szCs w:val="26"/>
        </w:rPr>
      </w:pPr>
      <w:bookmarkStart w:id="1" w:name="_GoBack"/>
      <w:bookmarkEnd w:id="1"/>
      <w:r w:rsidRPr="002A7E1A">
        <w:rPr>
          <w:rFonts w:ascii="Century Gothic" w:hAnsi="Century Gothic"/>
          <w:b/>
          <w:sz w:val="26"/>
          <w:szCs w:val="26"/>
        </w:rPr>
        <w:t>TRANSITORIOS</w:t>
      </w:r>
    </w:p>
    <w:p w:rsidR="004A29D4" w:rsidRPr="004A29D4" w:rsidRDefault="004A29D4" w:rsidP="003946A4">
      <w:pPr>
        <w:spacing w:after="200"/>
        <w:jc w:val="both"/>
        <w:rPr>
          <w:rFonts w:ascii="Century Gothic" w:hAnsi="Century Gothic"/>
          <w:sz w:val="26"/>
          <w:szCs w:val="26"/>
        </w:rPr>
      </w:pPr>
      <w:r w:rsidRPr="002A7E1A">
        <w:rPr>
          <w:rFonts w:ascii="Century Gothic" w:hAnsi="Century Gothic"/>
          <w:b/>
          <w:sz w:val="26"/>
          <w:szCs w:val="26"/>
        </w:rPr>
        <w:t>Único.-</w:t>
      </w:r>
      <w:r w:rsidRPr="004A29D4">
        <w:rPr>
          <w:rFonts w:ascii="Century Gothic" w:hAnsi="Century Gothic"/>
          <w:sz w:val="26"/>
          <w:szCs w:val="26"/>
        </w:rPr>
        <w:t xml:space="preserve"> El presente estatuto del Servicio Profesional de Carrera entra en vigor al día siguiente de su publicación en el Periódico Oficial del Gobierno del Estado.</w:t>
      </w:r>
    </w:p>
    <w:p w:rsidR="00CD5306" w:rsidRDefault="004A29D4" w:rsidP="003946A4">
      <w:pPr>
        <w:spacing w:after="200"/>
        <w:jc w:val="center"/>
        <w:rPr>
          <w:rFonts w:ascii="Century Gothic" w:hAnsi="Century Gothic" w:cs="Arial"/>
          <w:bdr w:val="none" w:sz="0" w:space="0" w:color="auto" w:frame="1"/>
        </w:rPr>
      </w:pPr>
      <w:r w:rsidRPr="004A29D4">
        <w:rPr>
          <w:rFonts w:ascii="Century Gothic" w:hAnsi="Century Gothic"/>
          <w:sz w:val="26"/>
          <w:szCs w:val="26"/>
        </w:rPr>
        <w:t xml:space="preserve"> </w:t>
      </w:r>
    </w:p>
    <w:bookmarkEnd w:id="0"/>
    <w:p w:rsidR="00F832E6" w:rsidRDefault="00F832E6" w:rsidP="003946A4">
      <w:pPr>
        <w:spacing w:line="360" w:lineRule="auto"/>
        <w:jc w:val="both"/>
        <w:rPr>
          <w:rFonts w:ascii="Century Gothic" w:hAnsi="Century Gothic"/>
          <w:sz w:val="20"/>
          <w:szCs w:val="20"/>
        </w:rPr>
      </w:pPr>
    </w:p>
    <w:p w:rsidR="001F0CF9" w:rsidRDefault="001F0CF9" w:rsidP="003946A4">
      <w:pPr>
        <w:spacing w:line="360" w:lineRule="auto"/>
        <w:jc w:val="both"/>
        <w:rPr>
          <w:rFonts w:ascii="Century Gothic" w:hAnsi="Century Gothic" w:cs="Arial"/>
          <w:sz w:val="26"/>
          <w:szCs w:val="26"/>
          <w:bdr w:val="none" w:sz="0" w:space="0" w:color="auto" w:frame="1"/>
        </w:rPr>
      </w:pPr>
    </w:p>
    <w:sectPr w:rsidR="001F0CF9" w:rsidSect="003946A4">
      <w:headerReference w:type="even" r:id="rId8"/>
      <w:headerReference w:type="default" r:id="rId9"/>
      <w:footerReference w:type="even" r:id="rId10"/>
      <w:footerReference w:type="default" r:id="rId11"/>
      <w:pgSz w:w="12240" w:h="20160" w:code="5"/>
      <w:pgMar w:top="2715" w:right="900" w:bottom="1418" w:left="0" w:header="709" w:footer="1134" w:gutter="17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385" w:rsidRPr="00177F9A" w:rsidRDefault="00FC7385" w:rsidP="00177F9A">
      <w:r>
        <w:separator/>
      </w:r>
    </w:p>
  </w:endnote>
  <w:endnote w:type="continuationSeparator" w:id="0">
    <w:p w:rsidR="00FC7385" w:rsidRPr="00177F9A" w:rsidRDefault="00FC7385" w:rsidP="00177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2A" w:rsidRDefault="006F142A" w:rsidP="006F142A">
    <w:pPr>
      <w:pStyle w:val="Piedepgina"/>
      <w:jc w:val="right"/>
      <w:rPr>
        <w:rFonts w:ascii="Century Gothic" w:hAnsi="Century Gothic"/>
        <w:color w:val="5B9BD5" w:themeColor="accent1"/>
        <w:sz w:val="18"/>
        <w:szCs w:val="18"/>
        <w:lang w:val="es-ES"/>
      </w:rPr>
    </w:pPr>
  </w:p>
  <w:p w:rsidR="006F142A" w:rsidRPr="006F142A" w:rsidRDefault="006F142A" w:rsidP="006F142A">
    <w:pPr>
      <w:pStyle w:val="Piedepgina"/>
      <w:jc w:val="right"/>
      <w:rPr>
        <w:rFonts w:ascii="Century Gothic" w:hAnsi="Century Gothic"/>
        <w:color w:val="5B9BD5" w:themeColor="accent1"/>
        <w:sz w:val="18"/>
        <w:szCs w:val="18"/>
      </w:rPr>
    </w:pPr>
    <w:r w:rsidRPr="006F142A">
      <w:rPr>
        <w:rFonts w:ascii="Century Gothic" w:hAnsi="Century Gothic"/>
        <w:color w:val="5B9BD5" w:themeColor="accent1"/>
        <w:sz w:val="18"/>
        <w:szCs w:val="18"/>
        <w:lang w:val="es-ES"/>
      </w:rPr>
      <w:t xml:space="preserve">Página </w:t>
    </w:r>
    <w:r w:rsidRPr="006F142A">
      <w:rPr>
        <w:rFonts w:ascii="Century Gothic" w:hAnsi="Century Gothic"/>
        <w:color w:val="5B9BD5" w:themeColor="accent1"/>
        <w:sz w:val="18"/>
        <w:szCs w:val="18"/>
      </w:rPr>
      <w:fldChar w:fldCharType="begin"/>
    </w:r>
    <w:r w:rsidRPr="006F142A">
      <w:rPr>
        <w:rFonts w:ascii="Century Gothic" w:hAnsi="Century Gothic"/>
        <w:color w:val="5B9BD5" w:themeColor="accent1"/>
        <w:sz w:val="18"/>
        <w:szCs w:val="18"/>
      </w:rPr>
      <w:instrText>PAGE  \* Arabic  \* MERGEFORMAT</w:instrText>
    </w:r>
    <w:r w:rsidRPr="006F142A">
      <w:rPr>
        <w:rFonts w:ascii="Century Gothic" w:hAnsi="Century Gothic"/>
        <w:color w:val="5B9BD5" w:themeColor="accent1"/>
        <w:sz w:val="18"/>
        <w:szCs w:val="18"/>
      </w:rPr>
      <w:fldChar w:fldCharType="separate"/>
    </w:r>
    <w:r w:rsidR="00D70198" w:rsidRPr="00D70198">
      <w:rPr>
        <w:rFonts w:ascii="Century Gothic" w:hAnsi="Century Gothic"/>
        <w:noProof/>
        <w:color w:val="5B9BD5" w:themeColor="accent1"/>
        <w:sz w:val="18"/>
        <w:szCs w:val="18"/>
        <w:lang w:val="es-ES"/>
      </w:rPr>
      <w:t>2</w:t>
    </w:r>
    <w:r w:rsidRPr="006F142A">
      <w:rPr>
        <w:rFonts w:ascii="Century Gothic" w:hAnsi="Century Gothic"/>
        <w:color w:val="5B9BD5" w:themeColor="accent1"/>
        <w:sz w:val="18"/>
        <w:szCs w:val="18"/>
      </w:rPr>
      <w:fldChar w:fldCharType="end"/>
    </w:r>
    <w:r w:rsidRPr="006F142A">
      <w:rPr>
        <w:rFonts w:ascii="Century Gothic" w:hAnsi="Century Gothic"/>
        <w:color w:val="5B9BD5" w:themeColor="accent1"/>
        <w:sz w:val="18"/>
        <w:szCs w:val="18"/>
        <w:lang w:val="es-ES"/>
      </w:rPr>
      <w:t xml:space="preserve"> de </w:t>
    </w:r>
    <w:r w:rsidRPr="006F142A">
      <w:rPr>
        <w:rFonts w:ascii="Century Gothic" w:hAnsi="Century Gothic"/>
        <w:color w:val="5B9BD5" w:themeColor="accent1"/>
        <w:sz w:val="18"/>
        <w:szCs w:val="18"/>
      </w:rPr>
      <w:fldChar w:fldCharType="begin"/>
    </w:r>
    <w:r w:rsidRPr="006F142A">
      <w:rPr>
        <w:rFonts w:ascii="Century Gothic" w:hAnsi="Century Gothic"/>
        <w:color w:val="5B9BD5" w:themeColor="accent1"/>
        <w:sz w:val="18"/>
        <w:szCs w:val="18"/>
      </w:rPr>
      <w:instrText>NUMPAGES  \* Arabic  \* MERGEFORMAT</w:instrText>
    </w:r>
    <w:r w:rsidRPr="006F142A">
      <w:rPr>
        <w:rFonts w:ascii="Century Gothic" w:hAnsi="Century Gothic"/>
        <w:color w:val="5B9BD5" w:themeColor="accent1"/>
        <w:sz w:val="18"/>
        <w:szCs w:val="18"/>
      </w:rPr>
      <w:fldChar w:fldCharType="separate"/>
    </w:r>
    <w:r w:rsidR="00C31E39" w:rsidRPr="00C31E39">
      <w:rPr>
        <w:rFonts w:ascii="Century Gothic" w:hAnsi="Century Gothic"/>
        <w:noProof/>
        <w:color w:val="5B9BD5" w:themeColor="accent1"/>
        <w:sz w:val="18"/>
        <w:szCs w:val="18"/>
        <w:lang w:val="es-ES"/>
      </w:rPr>
      <w:t>15</w:t>
    </w:r>
    <w:r w:rsidRPr="006F142A">
      <w:rPr>
        <w:rFonts w:ascii="Century Gothic" w:hAnsi="Century Gothic"/>
        <w:color w:val="5B9BD5" w:themeColor="accent1"/>
        <w:sz w:val="18"/>
        <w:szCs w:val="18"/>
      </w:rPr>
      <w:fldChar w:fldCharType="end"/>
    </w:r>
  </w:p>
  <w:p w:rsidR="006F142A" w:rsidRDefault="006F142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42A" w:rsidRDefault="006F142A" w:rsidP="006F142A">
    <w:pPr>
      <w:pStyle w:val="Piedepgina"/>
      <w:jc w:val="right"/>
      <w:rPr>
        <w:rFonts w:ascii="Century Gothic" w:hAnsi="Century Gothic"/>
        <w:color w:val="5B9BD5" w:themeColor="accent1"/>
        <w:sz w:val="18"/>
        <w:szCs w:val="18"/>
        <w:lang w:val="es-ES"/>
      </w:rPr>
    </w:pPr>
  </w:p>
  <w:p w:rsidR="006F142A" w:rsidRPr="006F142A" w:rsidRDefault="006F142A" w:rsidP="006F142A">
    <w:pPr>
      <w:pStyle w:val="Piedepgina"/>
      <w:jc w:val="right"/>
      <w:rPr>
        <w:rFonts w:ascii="Century Gothic" w:hAnsi="Century Gothic"/>
        <w:color w:val="5B9BD5" w:themeColor="accent1"/>
        <w:sz w:val="18"/>
        <w:szCs w:val="18"/>
      </w:rPr>
    </w:pPr>
    <w:r w:rsidRPr="006F142A">
      <w:rPr>
        <w:rFonts w:ascii="Century Gothic" w:hAnsi="Century Gothic"/>
        <w:color w:val="5B9BD5" w:themeColor="accent1"/>
        <w:sz w:val="18"/>
        <w:szCs w:val="18"/>
        <w:lang w:val="es-ES"/>
      </w:rPr>
      <w:t xml:space="preserve">Página </w:t>
    </w:r>
    <w:r w:rsidRPr="006F142A">
      <w:rPr>
        <w:rFonts w:ascii="Century Gothic" w:hAnsi="Century Gothic"/>
        <w:color w:val="5B9BD5" w:themeColor="accent1"/>
        <w:sz w:val="18"/>
        <w:szCs w:val="18"/>
      </w:rPr>
      <w:fldChar w:fldCharType="begin"/>
    </w:r>
    <w:r w:rsidRPr="006F142A">
      <w:rPr>
        <w:rFonts w:ascii="Century Gothic" w:hAnsi="Century Gothic"/>
        <w:color w:val="5B9BD5" w:themeColor="accent1"/>
        <w:sz w:val="18"/>
        <w:szCs w:val="18"/>
      </w:rPr>
      <w:instrText>PAGE  \* Arabic  \* MERGEFORMAT</w:instrText>
    </w:r>
    <w:r w:rsidRPr="006F142A">
      <w:rPr>
        <w:rFonts w:ascii="Century Gothic" w:hAnsi="Century Gothic"/>
        <w:color w:val="5B9BD5" w:themeColor="accent1"/>
        <w:sz w:val="18"/>
        <w:szCs w:val="18"/>
      </w:rPr>
      <w:fldChar w:fldCharType="separate"/>
    </w:r>
    <w:r w:rsidR="003946A4" w:rsidRPr="003946A4">
      <w:rPr>
        <w:rFonts w:ascii="Century Gothic" w:hAnsi="Century Gothic"/>
        <w:noProof/>
        <w:color w:val="5B9BD5" w:themeColor="accent1"/>
        <w:sz w:val="18"/>
        <w:szCs w:val="18"/>
        <w:lang w:val="es-ES"/>
      </w:rPr>
      <w:t>1</w:t>
    </w:r>
    <w:r w:rsidRPr="006F142A">
      <w:rPr>
        <w:rFonts w:ascii="Century Gothic" w:hAnsi="Century Gothic"/>
        <w:color w:val="5B9BD5" w:themeColor="accent1"/>
        <w:sz w:val="18"/>
        <w:szCs w:val="18"/>
      </w:rPr>
      <w:fldChar w:fldCharType="end"/>
    </w:r>
    <w:r w:rsidRPr="006F142A">
      <w:rPr>
        <w:rFonts w:ascii="Century Gothic" w:hAnsi="Century Gothic"/>
        <w:color w:val="5B9BD5" w:themeColor="accent1"/>
        <w:sz w:val="18"/>
        <w:szCs w:val="18"/>
        <w:lang w:val="es-ES"/>
      </w:rPr>
      <w:t xml:space="preserve"> de </w:t>
    </w:r>
    <w:r w:rsidRPr="006F142A">
      <w:rPr>
        <w:rFonts w:ascii="Century Gothic" w:hAnsi="Century Gothic"/>
        <w:color w:val="5B9BD5" w:themeColor="accent1"/>
        <w:sz w:val="18"/>
        <w:szCs w:val="18"/>
      </w:rPr>
      <w:fldChar w:fldCharType="begin"/>
    </w:r>
    <w:r w:rsidRPr="006F142A">
      <w:rPr>
        <w:rFonts w:ascii="Century Gothic" w:hAnsi="Century Gothic"/>
        <w:color w:val="5B9BD5" w:themeColor="accent1"/>
        <w:sz w:val="18"/>
        <w:szCs w:val="18"/>
      </w:rPr>
      <w:instrText>NUMPAGES  \* Arabic  \* MERGEFORMAT</w:instrText>
    </w:r>
    <w:r w:rsidRPr="006F142A">
      <w:rPr>
        <w:rFonts w:ascii="Century Gothic" w:hAnsi="Century Gothic"/>
        <w:color w:val="5B9BD5" w:themeColor="accent1"/>
        <w:sz w:val="18"/>
        <w:szCs w:val="18"/>
      </w:rPr>
      <w:fldChar w:fldCharType="separate"/>
    </w:r>
    <w:r w:rsidR="003946A4" w:rsidRPr="003946A4">
      <w:rPr>
        <w:rFonts w:ascii="Century Gothic" w:hAnsi="Century Gothic"/>
        <w:noProof/>
        <w:color w:val="5B9BD5" w:themeColor="accent1"/>
        <w:sz w:val="18"/>
        <w:szCs w:val="18"/>
        <w:lang w:val="es-ES"/>
      </w:rPr>
      <w:t>11</w:t>
    </w:r>
    <w:r w:rsidRPr="006F142A">
      <w:rPr>
        <w:rFonts w:ascii="Century Gothic" w:hAnsi="Century Gothic"/>
        <w:color w:val="5B9BD5" w:themeColor="accent1"/>
        <w:sz w:val="18"/>
        <w:szCs w:val="18"/>
      </w:rPr>
      <w:fldChar w:fldCharType="end"/>
    </w:r>
  </w:p>
  <w:p w:rsidR="00CE0388" w:rsidRDefault="00CE0388" w:rsidP="00177F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385" w:rsidRPr="00177F9A" w:rsidRDefault="00FC7385" w:rsidP="00177F9A">
      <w:r>
        <w:separator/>
      </w:r>
    </w:p>
  </w:footnote>
  <w:footnote w:type="continuationSeparator" w:id="0">
    <w:p w:rsidR="00FC7385" w:rsidRPr="00177F9A" w:rsidRDefault="00FC7385" w:rsidP="00177F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4CF" w:rsidRPr="00177F9A" w:rsidRDefault="00CD24CF" w:rsidP="00177F9A">
    <w:r w:rsidRPr="00177F9A">
      <w:rPr>
        <w:noProof/>
        <w:lang w:val="es-MX" w:eastAsia="es-MX"/>
      </w:rPr>
      <w:drawing>
        <wp:anchor distT="0" distB="0" distL="114300" distR="114300" simplePos="0" relativeHeight="251655168" behindDoc="1" locked="0" layoutInCell="1" allowOverlap="1" wp14:anchorId="74A9D561" wp14:editId="326BD8C2">
          <wp:simplePos x="0" y="0"/>
          <wp:positionH relativeFrom="margin">
            <wp:align>center</wp:align>
          </wp:positionH>
          <wp:positionV relativeFrom="paragraph">
            <wp:posOffset>4467270</wp:posOffset>
          </wp:positionV>
          <wp:extent cx="4722632" cy="2989878"/>
          <wp:effectExtent l="0" t="0" r="0" b="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rotWithShape="1">
                  <a:blip r:embed="rId1" cstate="print">
                    <a:duotone>
                      <a:schemeClr val="bg2">
                        <a:shade val="45000"/>
                        <a:satMod val="135000"/>
                      </a:schemeClr>
                      <a:prstClr val="white"/>
                    </a:duotone>
                    <a:extLst>
                      <a:ext uri="{28A0092B-C50C-407E-A947-70E740481C1C}">
                        <a14:useLocalDpi xmlns:a14="http://schemas.microsoft.com/office/drawing/2010/main" val="0"/>
                      </a:ext>
                    </a:extLst>
                  </a:blip>
                  <a:srcRect l="9906" t="14602" r="10243" b="13820"/>
                  <a:stretch/>
                </pic:blipFill>
                <pic:spPr bwMode="auto">
                  <a:xfrm>
                    <a:off x="0" y="0"/>
                    <a:ext cx="4722632" cy="2989878"/>
                  </a:xfrm>
                  <a:prstGeom prst="rect">
                    <a:avLst/>
                  </a:prstGeom>
                  <a:ln>
                    <a:noFill/>
                  </a:ln>
                  <a:extLst>
                    <a:ext uri="{53640926-AAD7-44D8-BBD7-CCE9431645EC}">
                      <a14:shadowObscured xmlns:a14="http://schemas.microsoft.com/office/drawing/2010/main"/>
                    </a:ext>
                  </a:ex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F4" w:rsidRPr="005841D1" w:rsidRDefault="005841D1" w:rsidP="005841D1">
    <w:pPr>
      <w:pStyle w:val="ENCABACUERDO"/>
      <w:ind w:firstLine="0"/>
      <w:jc w:val="left"/>
    </w:pPr>
    <w:r>
      <w:rPr>
        <w:noProof/>
        <w:lang w:val="es-MX"/>
      </w:rPr>
      <w:drawing>
        <wp:anchor distT="0" distB="0" distL="114300" distR="114300" simplePos="0" relativeHeight="251659264" behindDoc="1" locked="0" layoutInCell="1" allowOverlap="1">
          <wp:simplePos x="0" y="0"/>
          <wp:positionH relativeFrom="column">
            <wp:posOffset>-11567</wp:posOffset>
          </wp:positionH>
          <wp:positionV relativeFrom="paragraph">
            <wp:posOffset>4260552</wp:posOffset>
          </wp:positionV>
          <wp:extent cx="4722632" cy="2989878"/>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rotWithShape="1">
                  <a:blip r:embed="rId1" cstate="print">
                    <a:lum bright="70000" contrast="-70000"/>
                    <a:extLst>
                      <a:ext uri="{28A0092B-C50C-407E-A947-70E740481C1C}">
                        <a14:useLocalDpi xmlns:a14="http://schemas.microsoft.com/office/drawing/2010/main" val="0"/>
                      </a:ext>
                    </a:extLst>
                  </a:blip>
                  <a:srcRect l="9906" t="14602" r="10243" b="13820"/>
                  <a:stretch/>
                </pic:blipFill>
                <pic:spPr bwMode="auto">
                  <a:xfrm>
                    <a:off x="0" y="0"/>
                    <a:ext cx="4722632" cy="2989878"/>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54442"/>
    <w:multiLevelType w:val="hybridMultilevel"/>
    <w:tmpl w:val="79029DB4"/>
    <w:lvl w:ilvl="0" w:tplc="E424C3B4">
      <w:start w:val="1"/>
      <w:numFmt w:val="lowerLetter"/>
      <w:lvlText w:val="%1)"/>
      <w:lvlJc w:val="left"/>
      <w:pPr>
        <w:ind w:left="840" w:hanging="4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A1663E"/>
    <w:multiLevelType w:val="hybridMultilevel"/>
    <w:tmpl w:val="489AC6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7262D1"/>
    <w:multiLevelType w:val="hybridMultilevel"/>
    <w:tmpl w:val="4E522E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320A1"/>
    <w:multiLevelType w:val="hybridMultilevel"/>
    <w:tmpl w:val="DB0CF1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A325D6"/>
    <w:multiLevelType w:val="hybridMultilevel"/>
    <w:tmpl w:val="6B64463E"/>
    <w:lvl w:ilvl="0" w:tplc="90429D62">
      <w:start w:val="1"/>
      <w:numFmt w:val="upperRoman"/>
      <w:lvlText w:val="%1."/>
      <w:lvlJc w:val="left"/>
      <w:pPr>
        <w:ind w:left="7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C271A30"/>
    <w:multiLevelType w:val="hybridMultilevel"/>
    <w:tmpl w:val="F8F8EB60"/>
    <w:lvl w:ilvl="0" w:tplc="6E006BBE">
      <w:start w:val="1"/>
      <w:numFmt w:val="lowerLetter"/>
      <w:lvlText w:val="%1)"/>
      <w:lvlJc w:val="left"/>
      <w:pPr>
        <w:ind w:left="1114" w:hanging="4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FF04594"/>
    <w:multiLevelType w:val="hybridMultilevel"/>
    <w:tmpl w:val="27E01782"/>
    <w:lvl w:ilvl="0" w:tplc="CECE74E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1756D8"/>
    <w:multiLevelType w:val="hybridMultilevel"/>
    <w:tmpl w:val="C35E6B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EED1E8E"/>
    <w:multiLevelType w:val="hybridMultilevel"/>
    <w:tmpl w:val="ECEE19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DE2B5B"/>
    <w:multiLevelType w:val="hybridMultilevel"/>
    <w:tmpl w:val="2E6C69BE"/>
    <w:lvl w:ilvl="0" w:tplc="60B8E7FC">
      <w:start w:val="25"/>
      <w:numFmt w:val="bullet"/>
      <w:lvlText w:val="-"/>
      <w:lvlJc w:val="left"/>
      <w:pPr>
        <w:ind w:left="572" w:hanging="360"/>
      </w:pPr>
      <w:rPr>
        <w:rFonts w:ascii="Century Gothic" w:eastAsia="Times New Roman" w:hAnsi="Century Gothic" w:cs="Calibri" w:hint="default"/>
      </w:rPr>
    </w:lvl>
    <w:lvl w:ilvl="1" w:tplc="080A0003" w:tentative="1">
      <w:start w:val="1"/>
      <w:numFmt w:val="bullet"/>
      <w:lvlText w:val="o"/>
      <w:lvlJc w:val="left"/>
      <w:pPr>
        <w:ind w:left="1292" w:hanging="360"/>
      </w:pPr>
      <w:rPr>
        <w:rFonts w:ascii="Courier New" w:hAnsi="Courier New" w:cs="Courier New" w:hint="default"/>
      </w:rPr>
    </w:lvl>
    <w:lvl w:ilvl="2" w:tplc="080A0005" w:tentative="1">
      <w:start w:val="1"/>
      <w:numFmt w:val="bullet"/>
      <w:lvlText w:val=""/>
      <w:lvlJc w:val="left"/>
      <w:pPr>
        <w:ind w:left="2012" w:hanging="360"/>
      </w:pPr>
      <w:rPr>
        <w:rFonts w:ascii="Wingdings" w:hAnsi="Wingdings" w:hint="default"/>
      </w:rPr>
    </w:lvl>
    <w:lvl w:ilvl="3" w:tplc="080A0001" w:tentative="1">
      <w:start w:val="1"/>
      <w:numFmt w:val="bullet"/>
      <w:lvlText w:val=""/>
      <w:lvlJc w:val="left"/>
      <w:pPr>
        <w:ind w:left="2732" w:hanging="360"/>
      </w:pPr>
      <w:rPr>
        <w:rFonts w:ascii="Symbol" w:hAnsi="Symbol" w:hint="default"/>
      </w:rPr>
    </w:lvl>
    <w:lvl w:ilvl="4" w:tplc="080A0003" w:tentative="1">
      <w:start w:val="1"/>
      <w:numFmt w:val="bullet"/>
      <w:lvlText w:val="o"/>
      <w:lvlJc w:val="left"/>
      <w:pPr>
        <w:ind w:left="3452" w:hanging="360"/>
      </w:pPr>
      <w:rPr>
        <w:rFonts w:ascii="Courier New" w:hAnsi="Courier New" w:cs="Courier New" w:hint="default"/>
      </w:rPr>
    </w:lvl>
    <w:lvl w:ilvl="5" w:tplc="080A0005" w:tentative="1">
      <w:start w:val="1"/>
      <w:numFmt w:val="bullet"/>
      <w:lvlText w:val=""/>
      <w:lvlJc w:val="left"/>
      <w:pPr>
        <w:ind w:left="4172" w:hanging="360"/>
      </w:pPr>
      <w:rPr>
        <w:rFonts w:ascii="Wingdings" w:hAnsi="Wingdings" w:hint="default"/>
      </w:rPr>
    </w:lvl>
    <w:lvl w:ilvl="6" w:tplc="080A0001" w:tentative="1">
      <w:start w:val="1"/>
      <w:numFmt w:val="bullet"/>
      <w:lvlText w:val=""/>
      <w:lvlJc w:val="left"/>
      <w:pPr>
        <w:ind w:left="4892" w:hanging="360"/>
      </w:pPr>
      <w:rPr>
        <w:rFonts w:ascii="Symbol" w:hAnsi="Symbol" w:hint="default"/>
      </w:rPr>
    </w:lvl>
    <w:lvl w:ilvl="7" w:tplc="080A0003" w:tentative="1">
      <w:start w:val="1"/>
      <w:numFmt w:val="bullet"/>
      <w:lvlText w:val="o"/>
      <w:lvlJc w:val="left"/>
      <w:pPr>
        <w:ind w:left="5612" w:hanging="360"/>
      </w:pPr>
      <w:rPr>
        <w:rFonts w:ascii="Courier New" w:hAnsi="Courier New" w:cs="Courier New" w:hint="default"/>
      </w:rPr>
    </w:lvl>
    <w:lvl w:ilvl="8" w:tplc="080A0005" w:tentative="1">
      <w:start w:val="1"/>
      <w:numFmt w:val="bullet"/>
      <w:lvlText w:val=""/>
      <w:lvlJc w:val="left"/>
      <w:pPr>
        <w:ind w:left="6332" w:hanging="360"/>
      </w:pPr>
      <w:rPr>
        <w:rFonts w:ascii="Wingdings" w:hAnsi="Wingdings" w:hint="default"/>
      </w:rPr>
    </w:lvl>
  </w:abstractNum>
  <w:abstractNum w:abstractNumId="10" w15:restartNumberingAfterBreak="0">
    <w:nsid w:val="545A446F"/>
    <w:multiLevelType w:val="hybridMultilevel"/>
    <w:tmpl w:val="197046D6"/>
    <w:lvl w:ilvl="0" w:tplc="94783762">
      <w:start w:val="1"/>
      <w:numFmt w:val="upp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631E54B1"/>
    <w:multiLevelType w:val="hybridMultilevel"/>
    <w:tmpl w:val="91C82C8C"/>
    <w:lvl w:ilvl="0" w:tplc="F596115A">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9331719"/>
    <w:multiLevelType w:val="hybridMultilevel"/>
    <w:tmpl w:val="07048E9E"/>
    <w:lvl w:ilvl="0" w:tplc="CA34C03A">
      <w:start w:val="1"/>
      <w:numFmt w:val="lowerLetter"/>
      <w:lvlText w:val="%1)"/>
      <w:lvlJc w:val="left"/>
      <w:pPr>
        <w:ind w:left="1309" w:hanging="60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7"/>
  </w:num>
  <w:num w:numId="3">
    <w:abstractNumId w:val="9"/>
  </w:num>
  <w:num w:numId="4">
    <w:abstractNumId w:val="3"/>
  </w:num>
  <w:num w:numId="5">
    <w:abstractNumId w:val="1"/>
  </w:num>
  <w:num w:numId="6">
    <w:abstractNumId w:val="4"/>
  </w:num>
  <w:num w:numId="7">
    <w:abstractNumId w:val="8"/>
  </w:num>
  <w:num w:numId="8">
    <w:abstractNumId w:val="10"/>
  </w:num>
  <w:num w:numId="9">
    <w:abstractNumId w:val="12"/>
  </w:num>
  <w:num w:numId="10">
    <w:abstractNumId w:val="11"/>
  </w:num>
  <w:num w:numId="11">
    <w:abstractNumId w:val="5"/>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88"/>
    <w:rsid w:val="00003783"/>
    <w:rsid w:val="00010098"/>
    <w:rsid w:val="00083A70"/>
    <w:rsid w:val="00085CE9"/>
    <w:rsid w:val="000966FD"/>
    <w:rsid w:val="000A4A0F"/>
    <w:rsid w:val="000B228E"/>
    <w:rsid w:val="000B689D"/>
    <w:rsid w:val="000C5A7B"/>
    <w:rsid w:val="000E07D1"/>
    <w:rsid w:val="000F65BB"/>
    <w:rsid w:val="00103FEF"/>
    <w:rsid w:val="0012015E"/>
    <w:rsid w:val="00143529"/>
    <w:rsid w:val="00156145"/>
    <w:rsid w:val="00163B9B"/>
    <w:rsid w:val="001723A6"/>
    <w:rsid w:val="00177F9A"/>
    <w:rsid w:val="00185B5C"/>
    <w:rsid w:val="00193006"/>
    <w:rsid w:val="001957D9"/>
    <w:rsid w:val="001A2380"/>
    <w:rsid w:val="001B055E"/>
    <w:rsid w:val="001C2380"/>
    <w:rsid w:val="001D3474"/>
    <w:rsid w:val="001D5C80"/>
    <w:rsid w:val="001F0CF9"/>
    <w:rsid w:val="001F2C24"/>
    <w:rsid w:val="001F7AC5"/>
    <w:rsid w:val="00210D3D"/>
    <w:rsid w:val="0023543C"/>
    <w:rsid w:val="0025216D"/>
    <w:rsid w:val="00257DA8"/>
    <w:rsid w:val="0026429B"/>
    <w:rsid w:val="002642DC"/>
    <w:rsid w:val="002843CC"/>
    <w:rsid w:val="00285CE5"/>
    <w:rsid w:val="00296194"/>
    <w:rsid w:val="002A1CCF"/>
    <w:rsid w:val="002A7CBA"/>
    <w:rsid w:val="002A7E1A"/>
    <w:rsid w:val="002D34DE"/>
    <w:rsid w:val="00306099"/>
    <w:rsid w:val="00321FCC"/>
    <w:rsid w:val="00325994"/>
    <w:rsid w:val="003272DC"/>
    <w:rsid w:val="00334012"/>
    <w:rsid w:val="00343FF0"/>
    <w:rsid w:val="00344B6B"/>
    <w:rsid w:val="00361407"/>
    <w:rsid w:val="00361DF4"/>
    <w:rsid w:val="00374A1F"/>
    <w:rsid w:val="0038041D"/>
    <w:rsid w:val="003823EB"/>
    <w:rsid w:val="003946A4"/>
    <w:rsid w:val="003D1441"/>
    <w:rsid w:val="003F1545"/>
    <w:rsid w:val="004028EE"/>
    <w:rsid w:val="00410E70"/>
    <w:rsid w:val="00414388"/>
    <w:rsid w:val="00435190"/>
    <w:rsid w:val="004762E6"/>
    <w:rsid w:val="004A20F4"/>
    <w:rsid w:val="004A25A2"/>
    <w:rsid w:val="004A292E"/>
    <w:rsid w:val="004A29D4"/>
    <w:rsid w:val="004C75FC"/>
    <w:rsid w:val="004D1CA4"/>
    <w:rsid w:val="004F4B1D"/>
    <w:rsid w:val="005051D9"/>
    <w:rsid w:val="005108AB"/>
    <w:rsid w:val="00512A01"/>
    <w:rsid w:val="0051549D"/>
    <w:rsid w:val="005841D1"/>
    <w:rsid w:val="00592074"/>
    <w:rsid w:val="005932A6"/>
    <w:rsid w:val="00597687"/>
    <w:rsid w:val="005A2C26"/>
    <w:rsid w:val="005A6662"/>
    <w:rsid w:val="005B0F46"/>
    <w:rsid w:val="005C50AE"/>
    <w:rsid w:val="005D523F"/>
    <w:rsid w:val="005E2D27"/>
    <w:rsid w:val="00605752"/>
    <w:rsid w:val="006102C7"/>
    <w:rsid w:val="0062600C"/>
    <w:rsid w:val="00643CC2"/>
    <w:rsid w:val="00684214"/>
    <w:rsid w:val="006C2ABB"/>
    <w:rsid w:val="006D0198"/>
    <w:rsid w:val="006E29B9"/>
    <w:rsid w:val="006F142A"/>
    <w:rsid w:val="00701419"/>
    <w:rsid w:val="007235B8"/>
    <w:rsid w:val="00735B13"/>
    <w:rsid w:val="00781E34"/>
    <w:rsid w:val="00790631"/>
    <w:rsid w:val="007B6B61"/>
    <w:rsid w:val="0083042C"/>
    <w:rsid w:val="008359EE"/>
    <w:rsid w:val="00835C07"/>
    <w:rsid w:val="00840F91"/>
    <w:rsid w:val="0084559D"/>
    <w:rsid w:val="00855873"/>
    <w:rsid w:val="0087431F"/>
    <w:rsid w:val="00880E26"/>
    <w:rsid w:val="008A0D2E"/>
    <w:rsid w:val="008C37FF"/>
    <w:rsid w:val="008C5438"/>
    <w:rsid w:val="008C630B"/>
    <w:rsid w:val="008D673D"/>
    <w:rsid w:val="009006C9"/>
    <w:rsid w:val="009116D8"/>
    <w:rsid w:val="009248B4"/>
    <w:rsid w:val="009427AD"/>
    <w:rsid w:val="00963E41"/>
    <w:rsid w:val="00972E79"/>
    <w:rsid w:val="00984DEF"/>
    <w:rsid w:val="00997A98"/>
    <w:rsid w:val="009A08D5"/>
    <w:rsid w:val="009C5B26"/>
    <w:rsid w:val="009D7E2B"/>
    <w:rsid w:val="009E12C3"/>
    <w:rsid w:val="009E6F73"/>
    <w:rsid w:val="009F53FD"/>
    <w:rsid w:val="00A05103"/>
    <w:rsid w:val="00A11B02"/>
    <w:rsid w:val="00A136FA"/>
    <w:rsid w:val="00A4035C"/>
    <w:rsid w:val="00A764EB"/>
    <w:rsid w:val="00AB2564"/>
    <w:rsid w:val="00AC04D6"/>
    <w:rsid w:val="00AC4E99"/>
    <w:rsid w:val="00AC7E3A"/>
    <w:rsid w:val="00AE5509"/>
    <w:rsid w:val="00AF4A45"/>
    <w:rsid w:val="00AF690E"/>
    <w:rsid w:val="00B000EF"/>
    <w:rsid w:val="00B138AD"/>
    <w:rsid w:val="00B1590B"/>
    <w:rsid w:val="00B17F98"/>
    <w:rsid w:val="00B277D4"/>
    <w:rsid w:val="00B41409"/>
    <w:rsid w:val="00B443D8"/>
    <w:rsid w:val="00B75753"/>
    <w:rsid w:val="00B8141D"/>
    <w:rsid w:val="00B852F2"/>
    <w:rsid w:val="00B87397"/>
    <w:rsid w:val="00B91A65"/>
    <w:rsid w:val="00BF77FA"/>
    <w:rsid w:val="00C24027"/>
    <w:rsid w:val="00C24C3E"/>
    <w:rsid w:val="00C276E8"/>
    <w:rsid w:val="00C31E39"/>
    <w:rsid w:val="00C50162"/>
    <w:rsid w:val="00C57343"/>
    <w:rsid w:val="00C853FD"/>
    <w:rsid w:val="00C860F8"/>
    <w:rsid w:val="00C9724C"/>
    <w:rsid w:val="00CB65AC"/>
    <w:rsid w:val="00CD24CF"/>
    <w:rsid w:val="00CD2577"/>
    <w:rsid w:val="00CD5306"/>
    <w:rsid w:val="00CE0388"/>
    <w:rsid w:val="00CE69E0"/>
    <w:rsid w:val="00CF0290"/>
    <w:rsid w:val="00CF65A8"/>
    <w:rsid w:val="00D261DC"/>
    <w:rsid w:val="00D27B6E"/>
    <w:rsid w:val="00D35AD6"/>
    <w:rsid w:val="00D654D2"/>
    <w:rsid w:val="00D70198"/>
    <w:rsid w:val="00D7165D"/>
    <w:rsid w:val="00D81CF7"/>
    <w:rsid w:val="00DA4236"/>
    <w:rsid w:val="00DA7ABF"/>
    <w:rsid w:val="00DE7C88"/>
    <w:rsid w:val="00DF0A09"/>
    <w:rsid w:val="00DF1D6E"/>
    <w:rsid w:val="00E00C71"/>
    <w:rsid w:val="00E13796"/>
    <w:rsid w:val="00E140FF"/>
    <w:rsid w:val="00E25046"/>
    <w:rsid w:val="00E4067A"/>
    <w:rsid w:val="00E42A3D"/>
    <w:rsid w:val="00E51D2B"/>
    <w:rsid w:val="00E62166"/>
    <w:rsid w:val="00E82B8E"/>
    <w:rsid w:val="00EC1284"/>
    <w:rsid w:val="00EC4F7C"/>
    <w:rsid w:val="00EE22B2"/>
    <w:rsid w:val="00EF3EA3"/>
    <w:rsid w:val="00EF7BA8"/>
    <w:rsid w:val="00F134B1"/>
    <w:rsid w:val="00F260C5"/>
    <w:rsid w:val="00F832E6"/>
    <w:rsid w:val="00F84026"/>
    <w:rsid w:val="00F868A9"/>
    <w:rsid w:val="00FA0B6F"/>
    <w:rsid w:val="00FA436C"/>
    <w:rsid w:val="00FB6DF3"/>
    <w:rsid w:val="00FC1CA8"/>
    <w:rsid w:val="00FC73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926866-AC79-4581-854B-5A0A0E3F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C57343"/>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locked/>
    <w:rsid w:val="00CE0388"/>
    <w:pPr>
      <w:tabs>
        <w:tab w:val="center" w:pos="4419"/>
        <w:tab w:val="right" w:pos="8838"/>
      </w:tabs>
    </w:pPr>
  </w:style>
  <w:style w:type="character" w:customStyle="1" w:styleId="EncabezadoCar">
    <w:name w:val="Encabezado Car"/>
    <w:basedOn w:val="Fuentedeprrafopredeter"/>
    <w:link w:val="Encabezado"/>
    <w:uiPriority w:val="99"/>
    <w:rsid w:val="00CE0388"/>
  </w:style>
  <w:style w:type="paragraph" w:styleId="Piedepgina">
    <w:name w:val="footer"/>
    <w:basedOn w:val="Normal"/>
    <w:link w:val="PiedepginaCar"/>
    <w:uiPriority w:val="99"/>
    <w:unhideWhenUsed/>
    <w:locked/>
    <w:rsid w:val="00CE0388"/>
    <w:pPr>
      <w:tabs>
        <w:tab w:val="center" w:pos="4419"/>
        <w:tab w:val="right" w:pos="8838"/>
      </w:tabs>
    </w:pPr>
  </w:style>
  <w:style w:type="character" w:customStyle="1" w:styleId="PiedepginaCar">
    <w:name w:val="Pie de página Car"/>
    <w:basedOn w:val="Fuentedeprrafopredeter"/>
    <w:link w:val="Piedepgina"/>
    <w:uiPriority w:val="99"/>
    <w:rsid w:val="00CE0388"/>
  </w:style>
  <w:style w:type="paragraph" w:customStyle="1" w:styleId="ENCABACUERDO">
    <w:name w:val="ENCAB.ACUERDO"/>
    <w:basedOn w:val="Normal"/>
    <w:qFormat/>
    <w:rsid w:val="00CE0388"/>
    <w:pPr>
      <w:spacing w:after="9" w:line="277" w:lineRule="auto"/>
      <w:ind w:firstLine="4"/>
      <w:jc w:val="right"/>
    </w:pPr>
    <w:rPr>
      <w:rFonts w:ascii="Century Gothic" w:eastAsia="Calibri" w:hAnsi="Century Gothic" w:cs="Calibri"/>
      <w:color w:val="000000"/>
      <w:sz w:val="20"/>
      <w:lang w:eastAsia="es-MX"/>
    </w:rPr>
  </w:style>
  <w:style w:type="paragraph" w:customStyle="1" w:styleId="PIEACUERDO">
    <w:name w:val="PIE ACUERDO"/>
    <w:basedOn w:val="Piedepgina"/>
    <w:link w:val="PIEACUERDOCar"/>
    <w:qFormat/>
    <w:rsid w:val="00CE0388"/>
    <w:pPr>
      <w:jc w:val="center"/>
    </w:pPr>
    <w:rPr>
      <w:rFonts w:ascii="Century Gothic" w:hAnsi="Century Gothic"/>
      <w:sz w:val="20"/>
    </w:rPr>
  </w:style>
  <w:style w:type="paragraph" w:customStyle="1" w:styleId="1AACUERDO">
    <w:name w:val="1A.ACUERDO"/>
    <w:basedOn w:val="Normal"/>
    <w:qFormat/>
    <w:rsid w:val="0087431F"/>
    <w:pPr>
      <w:ind w:firstLine="709"/>
      <w:jc w:val="both"/>
    </w:pPr>
    <w:rPr>
      <w:rFonts w:ascii="Century Gothic" w:hAnsi="Century Gothic"/>
      <w:sz w:val="26"/>
    </w:rPr>
  </w:style>
  <w:style w:type="character" w:customStyle="1" w:styleId="PIEACUERDOCar">
    <w:name w:val="PIE ACUERDO Car"/>
    <w:basedOn w:val="PiedepginaCar"/>
    <w:link w:val="PIEACUERDO"/>
    <w:rsid w:val="00CE0388"/>
    <w:rPr>
      <w:rFonts w:ascii="Century Gothic" w:hAnsi="Century Gothic"/>
      <w:sz w:val="20"/>
    </w:rPr>
  </w:style>
  <w:style w:type="paragraph" w:customStyle="1" w:styleId="2AACUERDO">
    <w:name w:val="2A.ACUERDO"/>
    <w:basedOn w:val="1AACUERDO"/>
    <w:qFormat/>
    <w:rsid w:val="00361407"/>
    <w:pPr>
      <w:spacing w:line="360" w:lineRule="auto"/>
    </w:pPr>
  </w:style>
  <w:style w:type="paragraph" w:styleId="Textodeglobo">
    <w:name w:val="Balloon Text"/>
    <w:basedOn w:val="Normal"/>
    <w:link w:val="TextodegloboCar"/>
    <w:uiPriority w:val="99"/>
    <w:semiHidden/>
    <w:unhideWhenUsed/>
    <w:locked/>
    <w:rsid w:val="00CD24C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24CF"/>
    <w:rPr>
      <w:rFonts w:ascii="Segoe UI" w:hAnsi="Segoe UI" w:cs="Segoe UI"/>
      <w:sz w:val="18"/>
      <w:szCs w:val="18"/>
    </w:rPr>
  </w:style>
  <w:style w:type="character" w:styleId="Hipervnculo">
    <w:name w:val="Hyperlink"/>
    <w:basedOn w:val="Fuentedeprrafopredeter"/>
    <w:uiPriority w:val="99"/>
    <w:semiHidden/>
    <w:unhideWhenUsed/>
    <w:locked/>
    <w:rsid w:val="00B8141D"/>
    <w:rPr>
      <w:color w:val="0000FF"/>
      <w:u w:val="single"/>
    </w:rPr>
  </w:style>
  <w:style w:type="paragraph" w:styleId="NormalWeb">
    <w:name w:val="Normal (Web)"/>
    <w:basedOn w:val="Normal"/>
    <w:uiPriority w:val="99"/>
    <w:unhideWhenUsed/>
    <w:locked/>
    <w:rsid w:val="00B8141D"/>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locked/>
    <w:rsid w:val="00B8141D"/>
    <w:rPr>
      <w:b/>
      <w:bCs/>
    </w:rPr>
  </w:style>
  <w:style w:type="paragraph" w:styleId="Textocomentario">
    <w:name w:val="annotation text"/>
    <w:basedOn w:val="Normal"/>
    <w:link w:val="TextocomentarioCar"/>
    <w:uiPriority w:val="99"/>
    <w:semiHidden/>
    <w:unhideWhenUsed/>
    <w:locked/>
    <w:rsid w:val="00A11B02"/>
    <w:pPr>
      <w:spacing w:after="200"/>
    </w:pPr>
    <w:rPr>
      <w:sz w:val="20"/>
      <w:szCs w:val="20"/>
    </w:rPr>
  </w:style>
  <w:style w:type="character" w:customStyle="1" w:styleId="TextocomentarioCar">
    <w:name w:val="Texto comentario Car"/>
    <w:basedOn w:val="Fuentedeprrafopredeter"/>
    <w:link w:val="Textocomentario"/>
    <w:uiPriority w:val="99"/>
    <w:semiHidden/>
    <w:rsid w:val="00A11B02"/>
    <w:rPr>
      <w:sz w:val="20"/>
      <w:szCs w:val="20"/>
    </w:rPr>
  </w:style>
  <w:style w:type="paragraph" w:styleId="Prrafodelista">
    <w:name w:val="List Paragraph"/>
    <w:basedOn w:val="Normal"/>
    <w:uiPriority w:val="34"/>
    <w:qFormat/>
    <w:locked/>
    <w:rsid w:val="00A05103"/>
    <w:pPr>
      <w:ind w:left="720"/>
      <w:contextualSpacing/>
    </w:pPr>
  </w:style>
  <w:style w:type="paragraph" w:styleId="Textonotapie">
    <w:name w:val="footnote text"/>
    <w:basedOn w:val="Normal"/>
    <w:link w:val="TextonotapieCar"/>
    <w:uiPriority w:val="99"/>
    <w:semiHidden/>
    <w:unhideWhenUsed/>
    <w:locked/>
    <w:rsid w:val="00835C07"/>
    <w:rPr>
      <w:sz w:val="20"/>
      <w:szCs w:val="20"/>
    </w:rPr>
  </w:style>
  <w:style w:type="character" w:customStyle="1" w:styleId="TextonotapieCar">
    <w:name w:val="Texto nota pie Car"/>
    <w:basedOn w:val="Fuentedeprrafopredeter"/>
    <w:link w:val="Textonotapie"/>
    <w:uiPriority w:val="99"/>
    <w:semiHidden/>
    <w:rsid w:val="00835C07"/>
    <w:rPr>
      <w:sz w:val="20"/>
      <w:szCs w:val="20"/>
    </w:rPr>
  </w:style>
  <w:style w:type="character" w:styleId="Refdenotaalpie">
    <w:name w:val="footnote reference"/>
    <w:basedOn w:val="Fuentedeprrafopredeter"/>
    <w:uiPriority w:val="99"/>
    <w:semiHidden/>
    <w:unhideWhenUsed/>
    <w:locked/>
    <w:rsid w:val="00835C07"/>
    <w:rPr>
      <w:vertAlign w:val="superscript"/>
    </w:rPr>
  </w:style>
  <w:style w:type="table" w:styleId="Tablaconcuadrcula">
    <w:name w:val="Table Grid"/>
    <w:basedOn w:val="Tablanormal"/>
    <w:uiPriority w:val="39"/>
    <w:locked/>
    <w:rsid w:val="00735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6C0B0-F127-49D7-AEEF-95476CD6F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3247</Words>
  <Characters>17862</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21067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SECTEC2</dc:creator>
  <cp:lastModifiedBy>marcela aguirre</cp:lastModifiedBy>
  <cp:revision>2</cp:revision>
  <cp:lastPrinted>2018-06-07T16:36:00Z</cp:lastPrinted>
  <dcterms:created xsi:type="dcterms:W3CDTF">2018-07-04T15:38:00Z</dcterms:created>
  <dcterms:modified xsi:type="dcterms:W3CDTF">2018-07-04T15:38:00Z</dcterms:modified>
</cp:coreProperties>
</file>