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A7EF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70B54600" w14:textId="77777777" w:rsidR="00CD6018" w:rsidRDefault="00CD6018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754B6775" w14:textId="77777777" w:rsidR="00B37FFA" w:rsidRPr="00A90958" w:rsidRDefault="00B37FFA" w:rsidP="00B37FF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 xml:space="preserve">ARTÍCULO </w:t>
      </w:r>
      <w:r w:rsidR="00C3297A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65</w:t>
      </w:r>
    </w:p>
    <w:p w14:paraId="68CCDE46" w14:textId="069F36A5" w:rsidR="00B37FFA" w:rsidRPr="00A90958" w:rsidRDefault="00B37FFA" w:rsidP="00B37FF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 xml:space="preserve">FRACCIÓN </w:t>
      </w:r>
      <w:r w:rsidR="00C3297A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XXX</w:t>
      </w:r>
      <w:r w:rsidR="00360482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VI</w:t>
      </w:r>
    </w:p>
    <w:p w14:paraId="19101A21" w14:textId="35824B74" w:rsidR="00B37FFA" w:rsidRPr="00A90958" w:rsidRDefault="00360482" w:rsidP="00B46C84">
      <w:pPr>
        <w:tabs>
          <w:tab w:val="left" w:pos="1830"/>
          <w:tab w:val="center" w:pos="4322"/>
        </w:tabs>
        <w:jc w:val="both"/>
        <w:rPr>
          <w:rFonts w:ascii="Avenir Next LT Pro Light" w:hAnsi="Avenir Next LT Pro Light" w:cs="Arial"/>
          <w:sz w:val="24"/>
          <w:szCs w:val="24"/>
        </w:rPr>
      </w:pPr>
      <w:r w:rsidRPr="00360482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LOS PROGRAMAS QUE OFRECEN, INCLUYENDO INFORMACIÓN SOBRE LA POBLACIÓN, OBJETIVO Y DESTINO, ASÍ COMO LOS TRÁMITES, TIEMPOS DE RESPUESTA, REQUISITOS Y FORMATOS PARA ACCEDER A LOS MISMOS</w:t>
      </w:r>
      <w:r w:rsidR="00B37FFA" w:rsidRPr="00A90958">
        <w:rPr>
          <w:rFonts w:ascii="Avenir Next LT Pro Light" w:hAnsi="Avenir Next LT Pro Light" w:cs="Arial"/>
          <w:sz w:val="24"/>
          <w:szCs w:val="24"/>
        </w:rPr>
        <w:tab/>
      </w:r>
    </w:p>
    <w:p w14:paraId="19C7360A" w14:textId="77777777" w:rsidR="00CD6018" w:rsidRPr="00A90958" w:rsidRDefault="00CD6018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</w:p>
    <w:p w14:paraId="0A70CD24" w14:textId="77777777" w:rsidR="00B37FFA" w:rsidRPr="00A90958" w:rsidRDefault="00B37FFA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</w:p>
    <w:p w14:paraId="247A97B3" w14:textId="77777777" w:rsidR="00B37FFA" w:rsidRPr="00A90958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En cumplimiento al artículo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65</w:t>
      </w: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fracción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XXXVI</w:t>
      </w: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I, de la </w:t>
      </w:r>
      <w:r w:rsidR="0088012B" w:rsidRPr="00A90958">
        <w:rPr>
          <w:rFonts w:ascii="Avenir Next LT Pro Light" w:eastAsia="+mn-ea" w:hAnsi="Avenir Next LT Pro Light" w:cs="Arial"/>
          <w:color w:val="000000"/>
          <w:kern w:val="24"/>
        </w:rPr>
        <w:t xml:space="preserve">Ley </w:t>
      </w:r>
      <w:r w:rsidR="00C3297A">
        <w:rPr>
          <w:rFonts w:ascii="Avenir Next LT Pro Light" w:eastAsia="+mn-ea" w:hAnsi="Avenir Next LT Pro Light" w:cs="Arial"/>
          <w:color w:val="000000"/>
          <w:kern w:val="24"/>
        </w:rPr>
        <w:t xml:space="preserve">General </w:t>
      </w:r>
      <w:r w:rsidR="0088012B" w:rsidRPr="00A90958">
        <w:rPr>
          <w:rFonts w:ascii="Avenir Next LT Pro Light" w:eastAsia="+mn-ea" w:hAnsi="Avenir Next LT Pro Light" w:cs="Arial"/>
          <w:color w:val="000000"/>
          <w:kern w:val="24"/>
        </w:rPr>
        <w:t>de Transparencia</w:t>
      </w:r>
      <w:r w:rsidR="00C3297A">
        <w:rPr>
          <w:rFonts w:ascii="Avenir Next LT Pro Light" w:eastAsia="+mn-ea" w:hAnsi="Avenir Next LT Pro Light" w:cs="Arial"/>
          <w:color w:val="000000"/>
          <w:kern w:val="24"/>
        </w:rPr>
        <w:t xml:space="preserve"> y Acceso a la Información Pública</w:t>
      </w:r>
      <w:r w:rsidR="00F1669A" w:rsidRPr="00A90958">
        <w:rPr>
          <w:rFonts w:ascii="Avenir Next LT Pro Light" w:eastAsia="+mn-ea" w:hAnsi="Avenir Next LT Pro Light" w:cs="Arial"/>
          <w:color w:val="000000"/>
          <w:kern w:val="24"/>
        </w:rPr>
        <w:t>.</w:t>
      </w:r>
    </w:p>
    <w:p w14:paraId="0E1A7BA8" w14:textId="77777777" w:rsidR="00DE50E5" w:rsidRPr="00A90958" w:rsidRDefault="00DE50E5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color w:val="000000"/>
          <w:kern w:val="24"/>
        </w:rPr>
      </w:pPr>
    </w:p>
    <w:p w14:paraId="29069667" w14:textId="77777777" w:rsidR="00B37FFA" w:rsidRPr="00C621ED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213A41E3" w14:textId="5C11F900" w:rsidR="00B37FFA" w:rsidRPr="00A90958" w:rsidRDefault="00BD23A1" w:rsidP="00360482">
      <w:pPr>
        <w:spacing w:line="360" w:lineRule="auto"/>
        <w:jc w:val="both"/>
        <w:rPr>
          <w:rFonts w:ascii="Avenir Next LT Pro Light" w:eastAsia="+mn-ea" w:hAnsi="Avenir Next LT Pro Light" w:cs="Arial"/>
          <w:bCs/>
          <w:color w:val="000000"/>
          <w:kern w:val="24"/>
          <w:highlight w:val="yellow"/>
        </w:rPr>
      </w:pPr>
      <w:r w:rsidRPr="004B6422">
        <w:rPr>
          <w:rFonts w:ascii="Avenir Next LT Pro Light" w:hAnsi="Avenir Next LT Pro Light"/>
          <w:sz w:val="24"/>
          <w:szCs w:val="24"/>
        </w:rPr>
        <w:t>E</w:t>
      </w:r>
      <w:r>
        <w:rPr>
          <w:rFonts w:ascii="Avenir Next LT Pro Light" w:hAnsi="Avenir Next LT Pro Light"/>
          <w:sz w:val="24"/>
          <w:szCs w:val="24"/>
        </w:rPr>
        <w:t>l</w:t>
      </w:r>
      <w:r w:rsidRPr="004B6422">
        <w:rPr>
          <w:rFonts w:ascii="Avenir Next LT Pro Light" w:hAnsi="Avenir Next LT Pro Light"/>
          <w:sz w:val="24"/>
          <w:szCs w:val="24"/>
        </w:rPr>
        <w:t xml:space="preserve"> Tribunal de Justicia Administrativa del Estado de Coahuila de Zaragoza, de acuerdo con sus facultades establecidas en la Ley Orgánica que lo rige </w:t>
      </w:r>
      <w:r w:rsidR="00360482" w:rsidRPr="00360482">
        <w:rPr>
          <w:rFonts w:ascii="Avenir Next LT Pro Light" w:hAnsi="Avenir Next LT Pro Light"/>
          <w:sz w:val="24"/>
          <w:szCs w:val="24"/>
        </w:rPr>
        <w:t>no se establece programas</w:t>
      </w:r>
      <w:r w:rsidR="00360482">
        <w:rPr>
          <w:rFonts w:ascii="Avenir Next LT Pro Light" w:hAnsi="Avenir Next LT Pro Light"/>
          <w:sz w:val="24"/>
          <w:szCs w:val="24"/>
        </w:rPr>
        <w:t xml:space="preserve"> de </w:t>
      </w:r>
      <w:r w:rsidR="00360482" w:rsidRPr="00360482">
        <w:rPr>
          <w:rFonts w:ascii="Avenir Next LT Pro Light" w:hAnsi="Avenir Next LT Pro Light"/>
          <w:sz w:val="24"/>
          <w:szCs w:val="24"/>
        </w:rPr>
        <w:t>información sobre la población, objetivo</w:t>
      </w:r>
      <w:r w:rsidR="00360482">
        <w:rPr>
          <w:rFonts w:ascii="Avenir Next LT Pro Light" w:hAnsi="Avenir Next LT Pro Light"/>
          <w:sz w:val="24"/>
          <w:szCs w:val="24"/>
        </w:rPr>
        <w:t>s</w:t>
      </w:r>
      <w:r w:rsidR="00360482" w:rsidRPr="00360482">
        <w:rPr>
          <w:rFonts w:ascii="Avenir Next LT Pro Light" w:hAnsi="Avenir Next LT Pro Light"/>
          <w:sz w:val="24"/>
          <w:szCs w:val="24"/>
        </w:rPr>
        <w:t xml:space="preserve"> y destino</w:t>
      </w:r>
      <w:r w:rsidR="00360482">
        <w:rPr>
          <w:rFonts w:ascii="Avenir Next LT Pro Light" w:hAnsi="Avenir Next LT Pro Light"/>
          <w:sz w:val="24"/>
          <w:szCs w:val="24"/>
        </w:rPr>
        <w:t>s.</w:t>
      </w:r>
    </w:p>
    <w:p w14:paraId="52FE6BDE" w14:textId="77777777" w:rsidR="00B37FFA" w:rsidRPr="00A90958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057D0BA7" w14:textId="77777777" w:rsidR="00CD6018" w:rsidRPr="00A90958" w:rsidRDefault="00CD6018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2934BDA4" w14:textId="77777777" w:rsidR="00CD6018" w:rsidRPr="00A90958" w:rsidRDefault="00CD6018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675C0A5A" w14:textId="77777777" w:rsidR="00B37FFA" w:rsidRPr="00A90958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ab/>
      </w:r>
    </w:p>
    <w:p w14:paraId="51060D5D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703B8D7C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37AFD30C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6F4036B8" w14:textId="77777777" w:rsidR="00B37FFA" w:rsidRPr="00A90958" w:rsidRDefault="00E01C2B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ab/>
      </w:r>
    </w:p>
    <w:p w14:paraId="0D801600" w14:textId="77777777" w:rsidR="00B37FFA" w:rsidRPr="00A90958" w:rsidRDefault="00B37FFA" w:rsidP="00152EB8">
      <w:pPr>
        <w:rPr>
          <w:rFonts w:ascii="Avenir Next LT Pro Light" w:hAnsi="Avenir Next LT Pro Light" w:cs="Arial"/>
          <w:color w:val="000000"/>
          <w:sz w:val="24"/>
          <w:szCs w:val="24"/>
        </w:rPr>
      </w:pPr>
    </w:p>
    <w:p w14:paraId="05D8B9DF" w14:textId="77777777" w:rsidR="00BD23A1" w:rsidRPr="00A90958" w:rsidRDefault="00BD23A1" w:rsidP="00BD23A1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Elaborado por: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Lic. Octavio Guadalupe Adame Jacinto </w:t>
      </w:r>
    </w:p>
    <w:p w14:paraId="665F5881" w14:textId="77777777" w:rsidR="00BD23A1" w:rsidRPr="00A90958" w:rsidRDefault="00BD23A1" w:rsidP="00BD23A1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Unidad Administrativa</w:t>
      </w: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:</w:t>
      </w: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 xml:space="preserve"> </w:t>
      </w:r>
      <w:r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>Secretario Técnico</w:t>
      </w: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 xml:space="preserve"> </w:t>
      </w:r>
      <w:r w:rsidRPr="00A90958"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 xml:space="preserve"> </w:t>
      </w:r>
    </w:p>
    <w:p w14:paraId="72D34B6A" w14:textId="77777777" w:rsidR="00BD23A1" w:rsidRPr="00A90958" w:rsidRDefault="00BD23A1" w:rsidP="00BD23A1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Fecha de actualización: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>
        <w:rPr>
          <w:rFonts w:ascii="Avenir Next LT Pro Light" w:hAnsi="Avenir Next LT Pro Light"/>
          <w:i/>
          <w:iCs/>
          <w:sz w:val="18"/>
          <w:szCs w:val="18"/>
          <w:lang w:val="es-ES"/>
        </w:rPr>
        <w:t>01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</w:t>
      </w:r>
      <w:r>
        <w:rPr>
          <w:rFonts w:ascii="Avenir Next LT Pro Light" w:hAnsi="Avenir Next LT Pro Light"/>
          <w:i/>
          <w:iCs/>
          <w:sz w:val="18"/>
          <w:szCs w:val="18"/>
          <w:lang w:val="es-ES"/>
        </w:rPr>
        <w:t>10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/2025.</w:t>
      </w:r>
    </w:p>
    <w:p w14:paraId="2F0119B2" w14:textId="77777777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C20F5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E27E" w14:textId="77777777" w:rsidR="00360482" w:rsidRDefault="00360482" w:rsidP="00A71679">
      <w:pPr>
        <w:spacing w:after="0" w:line="240" w:lineRule="auto"/>
      </w:pPr>
      <w:r>
        <w:separator/>
      </w:r>
    </w:p>
  </w:endnote>
  <w:endnote w:type="continuationSeparator" w:id="0">
    <w:p w14:paraId="05A47B85" w14:textId="77777777" w:rsidR="00360482" w:rsidRDefault="00360482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C659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A068035" wp14:editId="0671299B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76B8F688" w14:textId="77777777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3E55C333" wp14:editId="7B2E5596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3B96686F" wp14:editId="1431376E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3F2826EA" wp14:editId="0269C271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0D6B412" w14:textId="77777777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2079" w14:textId="77777777" w:rsidR="00360482" w:rsidRDefault="00360482" w:rsidP="00A71679">
      <w:pPr>
        <w:spacing w:after="0" w:line="240" w:lineRule="auto"/>
      </w:pPr>
      <w:r>
        <w:separator/>
      </w:r>
    </w:p>
  </w:footnote>
  <w:footnote w:type="continuationSeparator" w:id="0">
    <w:p w14:paraId="515709CD" w14:textId="77777777" w:rsidR="00360482" w:rsidRDefault="00360482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ACD3" w14:textId="77777777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129FD341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71FA17B4" w14:textId="77777777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26C5ABD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1E1D25D" w14:textId="77777777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030450" wp14:editId="4EC9426F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F4FFB1F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7A61BD15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6BCE20C4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8782B93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52C5A67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2194FD82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5DCBF66A" w14:textId="77777777" w:rsidR="007E09E3" w:rsidRPr="00003BD1" w:rsidRDefault="007E09E3" w:rsidP="00A71679">
    <w:pPr>
      <w:pStyle w:val="Encabezado"/>
      <w:jc w:val="center"/>
      <w:rPr>
        <w:b/>
        <w:bCs/>
      </w:rPr>
    </w:pPr>
  </w:p>
  <w:p w14:paraId="74B91A0B" w14:textId="77777777" w:rsidR="007E09E3" w:rsidRDefault="007E09E3" w:rsidP="00A71679">
    <w:pPr>
      <w:pStyle w:val="Encabezado"/>
      <w:jc w:val="center"/>
    </w:pPr>
  </w:p>
  <w:p w14:paraId="7C291A85" w14:textId="77777777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23D3"/>
    <w:rsid w:val="000131E3"/>
    <w:rsid w:val="000144F5"/>
    <w:rsid w:val="00014779"/>
    <w:rsid w:val="00017713"/>
    <w:rsid w:val="000205AB"/>
    <w:rsid w:val="00025FCE"/>
    <w:rsid w:val="00026C76"/>
    <w:rsid w:val="00034082"/>
    <w:rsid w:val="0003670F"/>
    <w:rsid w:val="0004183C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4916"/>
    <w:rsid w:val="000C6502"/>
    <w:rsid w:val="000D69B4"/>
    <w:rsid w:val="000E09D3"/>
    <w:rsid w:val="000E2B73"/>
    <w:rsid w:val="000E308C"/>
    <w:rsid w:val="000E531C"/>
    <w:rsid w:val="001027F4"/>
    <w:rsid w:val="0010553B"/>
    <w:rsid w:val="00142BAA"/>
    <w:rsid w:val="00152EB8"/>
    <w:rsid w:val="001530AA"/>
    <w:rsid w:val="00180B7B"/>
    <w:rsid w:val="001916CD"/>
    <w:rsid w:val="0019698E"/>
    <w:rsid w:val="001A5BB0"/>
    <w:rsid w:val="001A6838"/>
    <w:rsid w:val="001A79CB"/>
    <w:rsid w:val="001B2C79"/>
    <w:rsid w:val="001B5AD5"/>
    <w:rsid w:val="001C177A"/>
    <w:rsid w:val="001C1899"/>
    <w:rsid w:val="001C65DF"/>
    <w:rsid w:val="001D0611"/>
    <w:rsid w:val="001D431D"/>
    <w:rsid w:val="001D476E"/>
    <w:rsid w:val="001D4E50"/>
    <w:rsid w:val="001E6906"/>
    <w:rsid w:val="001E7841"/>
    <w:rsid w:val="001F24EB"/>
    <w:rsid w:val="001F7855"/>
    <w:rsid w:val="002037C5"/>
    <w:rsid w:val="002060EE"/>
    <w:rsid w:val="00212B29"/>
    <w:rsid w:val="00226258"/>
    <w:rsid w:val="002305EC"/>
    <w:rsid w:val="00236BA5"/>
    <w:rsid w:val="0024258A"/>
    <w:rsid w:val="00244FEF"/>
    <w:rsid w:val="002450FC"/>
    <w:rsid w:val="002453D0"/>
    <w:rsid w:val="00252881"/>
    <w:rsid w:val="00270BB5"/>
    <w:rsid w:val="00275D6A"/>
    <w:rsid w:val="00290426"/>
    <w:rsid w:val="002B09E6"/>
    <w:rsid w:val="002B1336"/>
    <w:rsid w:val="002C1461"/>
    <w:rsid w:val="002C1FBE"/>
    <w:rsid w:val="002D5E4E"/>
    <w:rsid w:val="002D7D08"/>
    <w:rsid w:val="002E5165"/>
    <w:rsid w:val="002F03CC"/>
    <w:rsid w:val="002F65D1"/>
    <w:rsid w:val="00300981"/>
    <w:rsid w:val="00302DF4"/>
    <w:rsid w:val="003055AE"/>
    <w:rsid w:val="003234A5"/>
    <w:rsid w:val="003246D1"/>
    <w:rsid w:val="0034066D"/>
    <w:rsid w:val="00340F33"/>
    <w:rsid w:val="00345CEA"/>
    <w:rsid w:val="00345FFC"/>
    <w:rsid w:val="0035247F"/>
    <w:rsid w:val="0035672E"/>
    <w:rsid w:val="00360482"/>
    <w:rsid w:val="00374144"/>
    <w:rsid w:val="00381F47"/>
    <w:rsid w:val="003845ED"/>
    <w:rsid w:val="00385137"/>
    <w:rsid w:val="003960B2"/>
    <w:rsid w:val="003B1D5B"/>
    <w:rsid w:val="003B475F"/>
    <w:rsid w:val="003B6752"/>
    <w:rsid w:val="003C1C63"/>
    <w:rsid w:val="003C254B"/>
    <w:rsid w:val="003D2093"/>
    <w:rsid w:val="003D6434"/>
    <w:rsid w:val="003D7A20"/>
    <w:rsid w:val="003D7E9B"/>
    <w:rsid w:val="003E5182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43216"/>
    <w:rsid w:val="00455911"/>
    <w:rsid w:val="00457463"/>
    <w:rsid w:val="004716F2"/>
    <w:rsid w:val="00473704"/>
    <w:rsid w:val="0047370B"/>
    <w:rsid w:val="00484ED5"/>
    <w:rsid w:val="00486486"/>
    <w:rsid w:val="00493C25"/>
    <w:rsid w:val="004A217A"/>
    <w:rsid w:val="004A2F76"/>
    <w:rsid w:val="004B40A5"/>
    <w:rsid w:val="004C3C4C"/>
    <w:rsid w:val="004D1B72"/>
    <w:rsid w:val="004F00D3"/>
    <w:rsid w:val="004F73FA"/>
    <w:rsid w:val="0050549D"/>
    <w:rsid w:val="005151A4"/>
    <w:rsid w:val="0052040C"/>
    <w:rsid w:val="00525A25"/>
    <w:rsid w:val="00527F93"/>
    <w:rsid w:val="00533DF6"/>
    <w:rsid w:val="00534109"/>
    <w:rsid w:val="00537357"/>
    <w:rsid w:val="00537D23"/>
    <w:rsid w:val="005464D3"/>
    <w:rsid w:val="00551169"/>
    <w:rsid w:val="00552898"/>
    <w:rsid w:val="005752A9"/>
    <w:rsid w:val="00577DB0"/>
    <w:rsid w:val="005817E5"/>
    <w:rsid w:val="0058410D"/>
    <w:rsid w:val="00584FA4"/>
    <w:rsid w:val="00587764"/>
    <w:rsid w:val="0059465D"/>
    <w:rsid w:val="005A5E2E"/>
    <w:rsid w:val="005C5BC9"/>
    <w:rsid w:val="005C748B"/>
    <w:rsid w:val="005C79EE"/>
    <w:rsid w:val="005D4EA8"/>
    <w:rsid w:val="005D70FD"/>
    <w:rsid w:val="005E0D3C"/>
    <w:rsid w:val="005E5A70"/>
    <w:rsid w:val="005E61D5"/>
    <w:rsid w:val="00610F02"/>
    <w:rsid w:val="00614A7A"/>
    <w:rsid w:val="00621F4D"/>
    <w:rsid w:val="006325A5"/>
    <w:rsid w:val="00632BFD"/>
    <w:rsid w:val="00637B41"/>
    <w:rsid w:val="00651DE6"/>
    <w:rsid w:val="00651F00"/>
    <w:rsid w:val="00663B5B"/>
    <w:rsid w:val="00677E14"/>
    <w:rsid w:val="00684AD7"/>
    <w:rsid w:val="00690223"/>
    <w:rsid w:val="00692989"/>
    <w:rsid w:val="006932AD"/>
    <w:rsid w:val="00694AB5"/>
    <w:rsid w:val="006A3EE5"/>
    <w:rsid w:val="006B1488"/>
    <w:rsid w:val="006B3906"/>
    <w:rsid w:val="006D3954"/>
    <w:rsid w:val="006E4543"/>
    <w:rsid w:val="006F23A8"/>
    <w:rsid w:val="006F5134"/>
    <w:rsid w:val="006F582A"/>
    <w:rsid w:val="006F5C42"/>
    <w:rsid w:val="006F6C0F"/>
    <w:rsid w:val="00702541"/>
    <w:rsid w:val="0071072E"/>
    <w:rsid w:val="00712A18"/>
    <w:rsid w:val="00734BC8"/>
    <w:rsid w:val="00737D5D"/>
    <w:rsid w:val="00746568"/>
    <w:rsid w:val="007466AA"/>
    <w:rsid w:val="00753581"/>
    <w:rsid w:val="0077076B"/>
    <w:rsid w:val="00790DED"/>
    <w:rsid w:val="00797428"/>
    <w:rsid w:val="007A57EA"/>
    <w:rsid w:val="007A6BE3"/>
    <w:rsid w:val="007B0779"/>
    <w:rsid w:val="007B1E02"/>
    <w:rsid w:val="007B2120"/>
    <w:rsid w:val="007B3980"/>
    <w:rsid w:val="007B7D85"/>
    <w:rsid w:val="007C0DB0"/>
    <w:rsid w:val="007C1AD5"/>
    <w:rsid w:val="007D155F"/>
    <w:rsid w:val="007D54F5"/>
    <w:rsid w:val="007D6938"/>
    <w:rsid w:val="007E09E3"/>
    <w:rsid w:val="007E1196"/>
    <w:rsid w:val="007F25BE"/>
    <w:rsid w:val="00804758"/>
    <w:rsid w:val="00807624"/>
    <w:rsid w:val="00810BE6"/>
    <w:rsid w:val="0081319F"/>
    <w:rsid w:val="0081740C"/>
    <w:rsid w:val="00824603"/>
    <w:rsid w:val="008260C4"/>
    <w:rsid w:val="00826357"/>
    <w:rsid w:val="00844390"/>
    <w:rsid w:val="00846DC1"/>
    <w:rsid w:val="00856478"/>
    <w:rsid w:val="00870071"/>
    <w:rsid w:val="00870E6D"/>
    <w:rsid w:val="0088012B"/>
    <w:rsid w:val="00883257"/>
    <w:rsid w:val="00883870"/>
    <w:rsid w:val="00891297"/>
    <w:rsid w:val="00891404"/>
    <w:rsid w:val="008920F3"/>
    <w:rsid w:val="0089389D"/>
    <w:rsid w:val="00895A2F"/>
    <w:rsid w:val="008B4BAC"/>
    <w:rsid w:val="008C4E6E"/>
    <w:rsid w:val="008E0749"/>
    <w:rsid w:val="008E3BE7"/>
    <w:rsid w:val="008E68B2"/>
    <w:rsid w:val="009007AE"/>
    <w:rsid w:val="00903CB5"/>
    <w:rsid w:val="00905E24"/>
    <w:rsid w:val="009219D4"/>
    <w:rsid w:val="009229E7"/>
    <w:rsid w:val="0092474D"/>
    <w:rsid w:val="00925E65"/>
    <w:rsid w:val="00927CD6"/>
    <w:rsid w:val="00934F49"/>
    <w:rsid w:val="00936B2B"/>
    <w:rsid w:val="00936CDA"/>
    <w:rsid w:val="0094439D"/>
    <w:rsid w:val="009630DC"/>
    <w:rsid w:val="00971FA6"/>
    <w:rsid w:val="00975C80"/>
    <w:rsid w:val="009822FB"/>
    <w:rsid w:val="009827B5"/>
    <w:rsid w:val="00982ED2"/>
    <w:rsid w:val="0098758E"/>
    <w:rsid w:val="009879B2"/>
    <w:rsid w:val="00991DA3"/>
    <w:rsid w:val="009A4C1D"/>
    <w:rsid w:val="009C19B9"/>
    <w:rsid w:val="009D63AE"/>
    <w:rsid w:val="009E7A71"/>
    <w:rsid w:val="009F1024"/>
    <w:rsid w:val="009F128F"/>
    <w:rsid w:val="009F6222"/>
    <w:rsid w:val="00A000C7"/>
    <w:rsid w:val="00A109B1"/>
    <w:rsid w:val="00A11D6D"/>
    <w:rsid w:val="00A139A6"/>
    <w:rsid w:val="00A1695E"/>
    <w:rsid w:val="00A216A2"/>
    <w:rsid w:val="00A34BBA"/>
    <w:rsid w:val="00A36059"/>
    <w:rsid w:val="00A36F00"/>
    <w:rsid w:val="00A55569"/>
    <w:rsid w:val="00A6013B"/>
    <w:rsid w:val="00A63639"/>
    <w:rsid w:val="00A711D6"/>
    <w:rsid w:val="00A71679"/>
    <w:rsid w:val="00A76124"/>
    <w:rsid w:val="00A90958"/>
    <w:rsid w:val="00A91AE3"/>
    <w:rsid w:val="00A95F46"/>
    <w:rsid w:val="00AA4451"/>
    <w:rsid w:val="00AA492A"/>
    <w:rsid w:val="00AA5C73"/>
    <w:rsid w:val="00AB29A6"/>
    <w:rsid w:val="00AB2F19"/>
    <w:rsid w:val="00AB536D"/>
    <w:rsid w:val="00AC0089"/>
    <w:rsid w:val="00AD6817"/>
    <w:rsid w:val="00AE1F86"/>
    <w:rsid w:val="00AE7AA0"/>
    <w:rsid w:val="00AF0F7B"/>
    <w:rsid w:val="00AF23CD"/>
    <w:rsid w:val="00AF2E8C"/>
    <w:rsid w:val="00B076B4"/>
    <w:rsid w:val="00B14274"/>
    <w:rsid w:val="00B14FF0"/>
    <w:rsid w:val="00B21043"/>
    <w:rsid w:val="00B2159C"/>
    <w:rsid w:val="00B216E0"/>
    <w:rsid w:val="00B31C16"/>
    <w:rsid w:val="00B37FFA"/>
    <w:rsid w:val="00B46317"/>
    <w:rsid w:val="00B46C84"/>
    <w:rsid w:val="00B56323"/>
    <w:rsid w:val="00B60EF1"/>
    <w:rsid w:val="00B71ED8"/>
    <w:rsid w:val="00B75DBA"/>
    <w:rsid w:val="00B7723D"/>
    <w:rsid w:val="00B824E9"/>
    <w:rsid w:val="00B828DB"/>
    <w:rsid w:val="00B863F9"/>
    <w:rsid w:val="00B93E9B"/>
    <w:rsid w:val="00B93ED5"/>
    <w:rsid w:val="00BA3CA2"/>
    <w:rsid w:val="00BB0868"/>
    <w:rsid w:val="00BB3314"/>
    <w:rsid w:val="00BC032B"/>
    <w:rsid w:val="00BC08A3"/>
    <w:rsid w:val="00BC0DFA"/>
    <w:rsid w:val="00BD1221"/>
    <w:rsid w:val="00BD23A1"/>
    <w:rsid w:val="00BD410E"/>
    <w:rsid w:val="00BD7DCE"/>
    <w:rsid w:val="00BE13FB"/>
    <w:rsid w:val="00BF469F"/>
    <w:rsid w:val="00BF641D"/>
    <w:rsid w:val="00C00794"/>
    <w:rsid w:val="00C01212"/>
    <w:rsid w:val="00C01818"/>
    <w:rsid w:val="00C04E6F"/>
    <w:rsid w:val="00C0566D"/>
    <w:rsid w:val="00C07CA5"/>
    <w:rsid w:val="00C07DAA"/>
    <w:rsid w:val="00C109D2"/>
    <w:rsid w:val="00C126C8"/>
    <w:rsid w:val="00C14834"/>
    <w:rsid w:val="00C15DE7"/>
    <w:rsid w:val="00C20BAF"/>
    <w:rsid w:val="00C2749F"/>
    <w:rsid w:val="00C3297A"/>
    <w:rsid w:val="00C35FF2"/>
    <w:rsid w:val="00C41C25"/>
    <w:rsid w:val="00C44652"/>
    <w:rsid w:val="00C4504F"/>
    <w:rsid w:val="00C45E51"/>
    <w:rsid w:val="00C57E77"/>
    <w:rsid w:val="00C621ED"/>
    <w:rsid w:val="00C63A0E"/>
    <w:rsid w:val="00C76A36"/>
    <w:rsid w:val="00C8498E"/>
    <w:rsid w:val="00C9468C"/>
    <w:rsid w:val="00C97E85"/>
    <w:rsid w:val="00CA423C"/>
    <w:rsid w:val="00CC2E21"/>
    <w:rsid w:val="00CC636A"/>
    <w:rsid w:val="00CD0655"/>
    <w:rsid w:val="00CD181A"/>
    <w:rsid w:val="00CD430D"/>
    <w:rsid w:val="00CD6018"/>
    <w:rsid w:val="00CE3201"/>
    <w:rsid w:val="00CE6E84"/>
    <w:rsid w:val="00D060E4"/>
    <w:rsid w:val="00D20BEA"/>
    <w:rsid w:val="00D32DA4"/>
    <w:rsid w:val="00D40A7D"/>
    <w:rsid w:val="00D50643"/>
    <w:rsid w:val="00D56EE9"/>
    <w:rsid w:val="00D614ED"/>
    <w:rsid w:val="00D619A0"/>
    <w:rsid w:val="00D64088"/>
    <w:rsid w:val="00D65A3B"/>
    <w:rsid w:val="00D71BF8"/>
    <w:rsid w:val="00D727F3"/>
    <w:rsid w:val="00D812D8"/>
    <w:rsid w:val="00DB0AAD"/>
    <w:rsid w:val="00DB2A64"/>
    <w:rsid w:val="00DB6EE9"/>
    <w:rsid w:val="00DC08E6"/>
    <w:rsid w:val="00DC6725"/>
    <w:rsid w:val="00DD13A2"/>
    <w:rsid w:val="00DD2B35"/>
    <w:rsid w:val="00DD6D6E"/>
    <w:rsid w:val="00DE1952"/>
    <w:rsid w:val="00DE50E5"/>
    <w:rsid w:val="00DF18F8"/>
    <w:rsid w:val="00E01C2B"/>
    <w:rsid w:val="00E01C7A"/>
    <w:rsid w:val="00E049A7"/>
    <w:rsid w:val="00E10526"/>
    <w:rsid w:val="00E14793"/>
    <w:rsid w:val="00E217E6"/>
    <w:rsid w:val="00E26B26"/>
    <w:rsid w:val="00E27EED"/>
    <w:rsid w:val="00E32201"/>
    <w:rsid w:val="00E351A4"/>
    <w:rsid w:val="00E43C34"/>
    <w:rsid w:val="00E4592F"/>
    <w:rsid w:val="00E567C2"/>
    <w:rsid w:val="00E61964"/>
    <w:rsid w:val="00E632FE"/>
    <w:rsid w:val="00E67B4F"/>
    <w:rsid w:val="00E71425"/>
    <w:rsid w:val="00E756D6"/>
    <w:rsid w:val="00E7725A"/>
    <w:rsid w:val="00E7771E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511C7"/>
    <w:rsid w:val="00F537E4"/>
    <w:rsid w:val="00F55809"/>
    <w:rsid w:val="00F6022E"/>
    <w:rsid w:val="00F61EDF"/>
    <w:rsid w:val="00F72A4C"/>
    <w:rsid w:val="00F8219B"/>
    <w:rsid w:val="00F863D5"/>
    <w:rsid w:val="00F90BDA"/>
    <w:rsid w:val="00F97380"/>
    <w:rsid w:val="00FA068F"/>
    <w:rsid w:val="00FC3FBF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D643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Perez</dc:creator>
  <cp:keywords/>
  <dc:description/>
  <cp:lastModifiedBy>Gabriela Perez Garza</cp:lastModifiedBy>
  <cp:revision>4</cp:revision>
  <cp:lastPrinted>2025-10-20T19:16:00Z</cp:lastPrinted>
  <dcterms:created xsi:type="dcterms:W3CDTF">2025-10-16T20:21:00Z</dcterms:created>
  <dcterms:modified xsi:type="dcterms:W3CDTF">2025-10-20T19:16:00Z</dcterms:modified>
</cp:coreProperties>
</file>