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F43C1" w14:textId="2EC001A8" w:rsidR="004032B7" w:rsidRPr="00190AD6" w:rsidRDefault="004032B7" w:rsidP="004032B7">
      <w:pPr>
        <w:pStyle w:val="Sinespaciado"/>
        <w:rPr>
          <w:rFonts w:ascii="Avenir Next LT Pro Light" w:hAnsi="Avenir Next LT Pro Light"/>
          <w:b/>
          <w:bCs/>
          <w:sz w:val="24"/>
          <w:szCs w:val="24"/>
        </w:rPr>
      </w:pPr>
      <w:r w:rsidRPr="00190AD6">
        <w:rPr>
          <w:rFonts w:ascii="Avenir Next LT Pro Light" w:hAnsi="Avenir Next LT Pro Light"/>
          <w:b/>
          <w:bCs/>
          <w:sz w:val="24"/>
          <w:szCs w:val="24"/>
        </w:rPr>
        <w:t xml:space="preserve">ARTÍCULO </w:t>
      </w:r>
      <w:r w:rsidR="002D125F">
        <w:rPr>
          <w:rFonts w:ascii="Avenir Next LT Pro Light" w:hAnsi="Avenir Next LT Pro Light"/>
          <w:b/>
          <w:bCs/>
          <w:sz w:val="24"/>
          <w:szCs w:val="24"/>
        </w:rPr>
        <w:t>65</w:t>
      </w:r>
    </w:p>
    <w:p w14:paraId="7457330E" w14:textId="77777777" w:rsidR="004032B7" w:rsidRPr="00190AD6" w:rsidRDefault="004032B7" w:rsidP="004032B7">
      <w:pPr>
        <w:pStyle w:val="Sinespaciado"/>
        <w:ind w:firstLine="708"/>
        <w:rPr>
          <w:rFonts w:ascii="Avenir Next LT Pro Light" w:hAnsi="Avenir Next LT Pro Light"/>
          <w:b/>
          <w:bCs/>
          <w:sz w:val="10"/>
          <w:szCs w:val="10"/>
        </w:rPr>
      </w:pPr>
    </w:p>
    <w:p w14:paraId="504E884F" w14:textId="3174693A" w:rsidR="004032B7" w:rsidRPr="00190AD6" w:rsidRDefault="004032B7" w:rsidP="004032B7">
      <w:pPr>
        <w:spacing w:line="240" w:lineRule="auto"/>
        <w:jc w:val="both"/>
        <w:rPr>
          <w:rFonts w:ascii="Avenir Next LT Pro Light" w:hAnsi="Avenir Next LT Pro Light"/>
        </w:rPr>
      </w:pPr>
      <w:r w:rsidRPr="00190AD6">
        <w:rPr>
          <w:rFonts w:ascii="Avenir Next LT Pro Light" w:hAnsi="Avenir Next LT Pro Light"/>
          <w:b/>
          <w:bCs/>
        </w:rPr>
        <w:t xml:space="preserve">FRACCIÓN </w:t>
      </w:r>
      <w:r w:rsidRPr="004032B7">
        <w:rPr>
          <w:rFonts w:ascii="Avenir Next LT Pro Light" w:hAnsi="Avenir Next LT Pro Light"/>
          <w:b/>
          <w:bCs/>
          <w:sz w:val="24"/>
          <w:szCs w:val="24"/>
        </w:rPr>
        <w:t>XXVIII</w:t>
      </w:r>
      <w:r w:rsidRPr="00190AD6">
        <w:rPr>
          <w:rFonts w:ascii="Avenir Next LT Pro Light" w:hAnsi="Avenir Next LT Pro Light"/>
          <w:b/>
          <w:bCs/>
        </w:rPr>
        <w:t xml:space="preserve">.- </w:t>
      </w:r>
      <w:r w:rsidRPr="004032B7">
        <w:rPr>
          <w:rFonts w:ascii="Avenir Next LT Pro Light" w:hAnsi="Avenir Next LT Pro Light"/>
        </w:rPr>
        <w:t>Estadísticas que generen en cumplimiento de sus facultades, competencias o funciones</w:t>
      </w:r>
      <w:r w:rsidRPr="00190AD6">
        <w:rPr>
          <w:rFonts w:ascii="Avenir Next LT Pro Light" w:hAnsi="Avenir Next LT Pro Light"/>
        </w:rPr>
        <w:t>.</w:t>
      </w:r>
    </w:p>
    <w:p w14:paraId="425F5F46" w14:textId="08B941D4" w:rsidR="005E5249" w:rsidRDefault="004B0A08" w:rsidP="005E5249">
      <w:pPr>
        <w:tabs>
          <w:tab w:val="center" w:pos="4419"/>
        </w:tabs>
        <w:spacing w:after="0" w:line="240" w:lineRule="auto"/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</w:pP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5BD83DDA" wp14:editId="6FE10785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5486400" cy="3200400"/>
            <wp:effectExtent l="0" t="0" r="0" b="0"/>
            <wp:wrapNone/>
            <wp:docPr id="132064983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0288" behindDoc="1" locked="0" layoutInCell="1" allowOverlap="1" wp14:anchorId="02F24C41" wp14:editId="32CFA2A2">
            <wp:simplePos x="0" y="0"/>
            <wp:positionH relativeFrom="margin">
              <wp:posOffset>0</wp:posOffset>
            </wp:positionH>
            <wp:positionV relativeFrom="paragraph">
              <wp:posOffset>3265805</wp:posOffset>
            </wp:positionV>
            <wp:extent cx="2705100" cy="3200400"/>
            <wp:effectExtent l="0" t="0" r="0" b="0"/>
            <wp:wrapNone/>
            <wp:docPr id="48360730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1312" behindDoc="1" locked="0" layoutInCell="1" allowOverlap="1" wp14:anchorId="2C31CA39" wp14:editId="505A49D7">
            <wp:simplePos x="0" y="0"/>
            <wp:positionH relativeFrom="margin">
              <wp:posOffset>2748915</wp:posOffset>
            </wp:positionH>
            <wp:positionV relativeFrom="paragraph">
              <wp:posOffset>3265805</wp:posOffset>
            </wp:positionV>
            <wp:extent cx="2724150" cy="3200400"/>
            <wp:effectExtent l="0" t="0" r="0" b="0"/>
            <wp:wrapNone/>
            <wp:docPr id="272738193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venir Next LT Pro Light" w:hAnsi="Avenir Next LT Pro Light" w:cs="Arial"/>
          <w:color w:val="0F4761" w:themeColor="accent1" w:themeShade="BF"/>
        </w:rPr>
        <w:br w:type="page"/>
      </w:r>
      <w:r w:rsidR="005E5249">
        <w:rPr>
          <w:rFonts w:ascii="Avenir Next LT Pro Light" w:hAnsi="Avenir Next LT Pro Light" w:cs="Arial"/>
          <w:color w:val="0F4761" w:themeColor="accent1" w:themeShade="BF"/>
        </w:rPr>
        <w:lastRenderedPageBreak/>
        <w:tab/>
      </w:r>
      <w:r w:rsidRPr="004B0A08"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Recursos</w:t>
      </w: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 xml:space="preserve"> de Reclamación y Recursos de Apelación</w:t>
      </w:r>
      <w:r w:rsidR="005E5249"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 xml:space="preserve"> </w:t>
      </w:r>
    </w:p>
    <w:p w14:paraId="5EF34F78" w14:textId="5C92ADAE" w:rsidR="00F26E5C" w:rsidRPr="004B0A08" w:rsidRDefault="005E5249" w:rsidP="005E5249">
      <w:pPr>
        <w:tabs>
          <w:tab w:val="left" w:pos="1080"/>
        </w:tabs>
        <w:spacing w:after="0" w:line="240" w:lineRule="auto"/>
        <w:jc w:val="center"/>
        <w:rPr>
          <w:rFonts w:ascii="Avenir Next LT Pro Light" w:hAnsi="Avenir Next LT Pro Light" w:cs="Arial"/>
          <w:b/>
          <w:bCs/>
          <w:color w:val="0F4761" w:themeColor="accent1" w:themeShade="BF"/>
        </w:rPr>
      </w:pP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Recibidos 2026</w:t>
      </w:r>
    </w:p>
    <w:p w14:paraId="78EE9486" w14:textId="62141021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3360" behindDoc="1" locked="0" layoutInCell="1" allowOverlap="1" wp14:anchorId="473E0F08" wp14:editId="1513922F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5486400" cy="2819400"/>
            <wp:effectExtent l="0" t="0" r="0" b="0"/>
            <wp:wrapNone/>
            <wp:docPr id="686641196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  <wp14:sizeRelV relativeFrom="margin">
              <wp14:pctHeight>0</wp14:pctHeight>
            </wp14:sizeRelV>
          </wp:anchor>
        </w:drawing>
      </w:r>
    </w:p>
    <w:p w14:paraId="5F7C81F8" w14:textId="1DF52EE0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10CE08D2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EB712B4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420468A" w14:textId="05CD7EC0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B35A5B6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6D74D7B" w14:textId="75565BB4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3CFB849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CEC669C" w14:textId="3B144DA8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E905E1B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08D3B2C" w14:textId="331C77F1" w:rsidR="004B0A08" w:rsidRDefault="004B0A08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2CBDFBE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2D8862F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B3E727B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A19E56A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30971C03" w14:textId="61CBC99D" w:rsidR="005E5249" w:rsidRDefault="005E5249" w:rsidP="005E5249">
      <w:pPr>
        <w:tabs>
          <w:tab w:val="left" w:pos="1080"/>
        </w:tabs>
        <w:spacing w:after="0" w:line="240" w:lineRule="auto"/>
        <w:jc w:val="center"/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</w:pP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Amparos Directos e Indirectos</w:t>
      </w:r>
    </w:p>
    <w:p w14:paraId="301A6C31" w14:textId="77777777" w:rsidR="005E5249" w:rsidRPr="004B0A08" w:rsidRDefault="005E5249" w:rsidP="005E5249">
      <w:pPr>
        <w:tabs>
          <w:tab w:val="left" w:pos="1080"/>
        </w:tabs>
        <w:spacing w:after="0" w:line="240" w:lineRule="auto"/>
        <w:jc w:val="center"/>
        <w:rPr>
          <w:rFonts w:ascii="Avenir Next LT Pro Light" w:hAnsi="Avenir Next LT Pro Light" w:cs="Arial"/>
          <w:b/>
          <w:bCs/>
          <w:color w:val="0F4761" w:themeColor="accent1" w:themeShade="BF"/>
        </w:rPr>
      </w:pPr>
      <w:r>
        <w:rPr>
          <w:rFonts w:ascii="Avenir Next LT Pro Light" w:hAnsi="Avenir Next LT Pro Light" w:cs="Arial"/>
          <w:b/>
          <w:bCs/>
          <w:color w:val="0F4761" w:themeColor="accent1" w:themeShade="BF"/>
          <w:sz w:val="24"/>
          <w:szCs w:val="24"/>
        </w:rPr>
        <w:t>Recibidos 2026</w:t>
      </w:r>
    </w:p>
    <w:p w14:paraId="00B56A1F" w14:textId="77777777" w:rsidR="005E5249" w:rsidRPr="00190AD6" w:rsidRDefault="005E5249" w:rsidP="005E5249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  <w:r>
        <w:rPr>
          <w:rFonts w:ascii="Avenir Next LT Pro Light" w:hAnsi="Avenir Next LT Pro Light" w:cs="Arial"/>
          <w:noProof/>
          <w:color w:val="0F4761" w:themeColor="accent1" w:themeShade="BF"/>
          <w14:ligatures w14:val="standardContextual"/>
        </w:rPr>
        <w:drawing>
          <wp:anchor distT="0" distB="0" distL="114300" distR="114300" simplePos="0" relativeHeight="251665408" behindDoc="1" locked="0" layoutInCell="1" allowOverlap="1" wp14:anchorId="4AB4E454" wp14:editId="09E537B7">
            <wp:simplePos x="0" y="0"/>
            <wp:positionH relativeFrom="margin">
              <wp:align>left</wp:align>
            </wp:positionH>
            <wp:positionV relativeFrom="paragraph">
              <wp:posOffset>90805</wp:posOffset>
            </wp:positionV>
            <wp:extent cx="5486400" cy="2818800"/>
            <wp:effectExtent l="0" t="0" r="0" b="635"/>
            <wp:wrapNone/>
            <wp:docPr id="153670877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V relativeFrom="margin">
              <wp14:pctHeight>0</wp14:pctHeight>
            </wp14:sizeRelV>
          </wp:anchor>
        </w:drawing>
      </w:r>
    </w:p>
    <w:p w14:paraId="041EE72B" w14:textId="77777777" w:rsidR="005E5249" w:rsidRDefault="005E5249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7C65A15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63E1D8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0821C22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6360E7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39A3DE22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9C0D9B6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01D48CC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2AC4CE84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609E7762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2E78AC30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2270730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781E0D71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1537BEA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4AAB791E" w14:textId="77777777" w:rsidR="004032B7" w:rsidRDefault="004032B7" w:rsidP="00C457B7">
      <w:pPr>
        <w:tabs>
          <w:tab w:val="left" w:pos="1080"/>
        </w:tabs>
        <w:spacing w:after="0"/>
        <w:rPr>
          <w:rFonts w:ascii="Avenir Next LT Pro Light" w:hAnsi="Avenir Next LT Pro Light" w:cs="Arial"/>
          <w:color w:val="0F4761" w:themeColor="accent1" w:themeShade="BF"/>
        </w:rPr>
      </w:pPr>
    </w:p>
    <w:p w14:paraId="537EDA60" w14:textId="448C675F" w:rsidR="0053237C" w:rsidRDefault="0053237C" w:rsidP="0053237C">
      <w:pPr>
        <w:pStyle w:val="Sinespaciado"/>
        <w:tabs>
          <w:tab w:val="left" w:pos="3615"/>
        </w:tabs>
        <w:jc w:val="both"/>
        <w:rPr>
          <w:rFonts w:ascii="Avenir Next LT Pro Light" w:hAnsi="Avenir Next LT Pro Light"/>
          <w:sz w:val="21"/>
          <w:szCs w:val="21"/>
        </w:rPr>
      </w:pPr>
      <w:r w:rsidRPr="0053237C">
        <w:rPr>
          <w:rFonts w:ascii="Avenir Next LT Pro Light" w:hAnsi="Avenir Next LT Pro Light"/>
          <w:sz w:val="21"/>
          <w:szCs w:val="21"/>
        </w:rPr>
        <w:t>Fecha de actualización: 03 de febrero 2026</w:t>
      </w:r>
    </w:p>
    <w:p w14:paraId="06A4D8FF" w14:textId="2C65F2D8" w:rsidR="004032B7" w:rsidRDefault="0053237C" w:rsidP="00C457B7">
      <w:pPr>
        <w:tabs>
          <w:tab w:val="left" w:pos="1080"/>
        </w:tabs>
        <w:spacing w:after="0"/>
        <w:rPr>
          <w:rFonts w:ascii="Avenir Next LT Pro Light" w:hAnsi="Avenir Next LT Pro Light" w:cs="Arial"/>
        </w:rPr>
      </w:pPr>
      <w:r w:rsidRPr="0053237C">
        <w:rPr>
          <w:rFonts w:ascii="Avenir Next LT Pro Light" w:hAnsi="Avenir Next LT Pro Light" w:cs="Arial"/>
        </w:rPr>
        <w:t>Actualizado por: Secretaria General de Acuerdos</w:t>
      </w:r>
    </w:p>
    <w:p w14:paraId="44101B34" w14:textId="4C182099" w:rsidR="00BA07D6" w:rsidRPr="00BA07D6" w:rsidRDefault="00BA07D6" w:rsidP="00C457B7">
      <w:pPr>
        <w:tabs>
          <w:tab w:val="left" w:pos="1080"/>
        </w:tabs>
        <w:spacing w:after="0"/>
        <w:rPr>
          <w:rFonts w:ascii="Avenir Next LT Pro Light" w:hAnsi="Avenir Next LT Pro Light" w:cs="Arial"/>
        </w:rPr>
      </w:pPr>
      <w:r w:rsidRPr="00BA07D6">
        <w:rPr>
          <w:rFonts w:ascii="Avenir Next LT Pro Light" w:hAnsi="Avenir Next LT Pro Light" w:cs="Arial"/>
        </w:rPr>
        <w:t>Autorizado por: Lic</w:t>
      </w:r>
      <w:r w:rsidR="002D125F">
        <w:rPr>
          <w:rFonts w:ascii="Avenir Next LT Pro Light" w:hAnsi="Avenir Next LT Pro Light" w:cs="Arial"/>
        </w:rPr>
        <w:t>.</w:t>
      </w:r>
      <w:r w:rsidRPr="00BA07D6">
        <w:rPr>
          <w:rFonts w:ascii="Avenir Next LT Pro Light" w:hAnsi="Avenir Next LT Pro Light" w:cs="Arial"/>
        </w:rPr>
        <w:t xml:space="preserve"> Idelia Constanza Reyes Tamez</w:t>
      </w:r>
    </w:p>
    <w:sectPr w:rsidR="00BA07D6" w:rsidRPr="00BA07D6" w:rsidSect="00C457B7">
      <w:headerReference w:type="default" r:id="rId12"/>
      <w:footerReference w:type="default" r:id="rId13"/>
      <w:pgSz w:w="12240" w:h="15840"/>
      <w:pgMar w:top="2625" w:right="1701" w:bottom="1417" w:left="1701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39B462" w14:textId="77777777" w:rsidR="006B0690" w:rsidRDefault="006B0690">
      <w:pPr>
        <w:spacing w:after="0" w:line="240" w:lineRule="auto"/>
      </w:pPr>
      <w:r>
        <w:separator/>
      </w:r>
    </w:p>
  </w:endnote>
  <w:endnote w:type="continuationSeparator" w:id="0">
    <w:p w14:paraId="3667710F" w14:textId="77777777" w:rsidR="006B0690" w:rsidRDefault="006B06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94DD6" w14:textId="77777777" w:rsidR="00C457B7" w:rsidRPr="00E82EB9" w:rsidRDefault="00C457B7" w:rsidP="00E82EB9">
    <w:pPr>
      <w:pBdr>
        <w:top w:val="single" w:sz="24" w:space="1" w:color="0A2F41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6C0FF6EA" wp14:editId="3B806266">
          <wp:extent cx="144000" cy="144000"/>
          <wp:effectExtent l="0" t="0" r="8890" b="8890"/>
          <wp:docPr id="67" name="Gráfico 67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proofErr w:type="spellStart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>Blvd</w:t>
    </w:r>
    <w:proofErr w:type="spellEnd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. Francisco Coss s/n, entre Purcell y </w:t>
    </w:r>
    <w:proofErr w:type="gramStart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>Presidente</w:t>
    </w:r>
    <w:proofErr w:type="gramEnd"/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Cárdenas, Zona Centro, C.P 25000, Saltillo, Coahuila de Zaragoza</w:t>
    </w:r>
  </w:p>
  <w:p w14:paraId="24CBFA03" w14:textId="77777777" w:rsidR="00C457B7" w:rsidRPr="00E82EB9" w:rsidRDefault="00C457B7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474BB267" wp14:editId="3E0800F8">
          <wp:extent cx="108000" cy="108000"/>
          <wp:effectExtent l="0" t="0" r="6350" b="6350"/>
          <wp:docPr id="68" name="Gráfico 68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0A2F41" w:themeColor="accent1" w:themeShade="80"/>
        <w:sz w:val="16"/>
        <w:szCs w:val="16"/>
        <w:lang w:eastAsia="es-MX"/>
      </w:rPr>
      <w:drawing>
        <wp:inline distT="0" distB="0" distL="0" distR="0" wp14:anchorId="541A04FB" wp14:editId="053DF7B0">
          <wp:extent cx="180000" cy="180000"/>
          <wp:effectExtent l="0" t="0" r="0" b="0"/>
          <wp:docPr id="69" name="Gráfico 69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0A2F41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0A2F41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0A2F41" w:themeColor="accent1" w:themeShade="80"/>
      </w:rPr>
      <w:drawing>
        <wp:inline distT="0" distB="0" distL="0" distR="0" wp14:anchorId="3553E0FF" wp14:editId="6DEB6A1B">
          <wp:extent cx="180000" cy="180000"/>
          <wp:effectExtent l="0" t="0" r="0" b="0"/>
          <wp:docPr id="70" name="Gráfico 70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0A2F41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404314D0" w14:textId="77777777" w:rsidR="00C457B7" w:rsidRDefault="00C457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FC91C" w14:textId="77777777" w:rsidR="006B0690" w:rsidRDefault="006B0690">
      <w:pPr>
        <w:spacing w:after="0" w:line="240" w:lineRule="auto"/>
      </w:pPr>
      <w:r>
        <w:separator/>
      </w:r>
    </w:p>
  </w:footnote>
  <w:footnote w:type="continuationSeparator" w:id="0">
    <w:p w14:paraId="769A400B" w14:textId="77777777" w:rsidR="006B0690" w:rsidRDefault="006B06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2EF3" w14:textId="77777777" w:rsidR="00C457B7" w:rsidRDefault="00C457B7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549D705A" w14:textId="77777777" w:rsidTr="00EA76C8">
      <w:tc>
        <w:tcPr>
          <w:tcW w:w="4535" w:type="dxa"/>
          <w:tcBorders>
            <w:top w:val="nil"/>
            <w:left w:val="nil"/>
            <w:bottom w:val="single" w:sz="24" w:space="0" w:color="0A2F41" w:themeColor="accent1" w:themeShade="80"/>
            <w:right w:val="nil"/>
          </w:tcBorders>
        </w:tcPr>
        <w:p w14:paraId="268618EA" w14:textId="77777777" w:rsidR="00C457B7" w:rsidRPr="00CE3201" w:rsidRDefault="00C457B7" w:rsidP="00CE3201">
          <w:pPr>
            <w:pStyle w:val="Encabezado"/>
            <w:rPr>
              <w:b/>
              <w:bCs/>
              <w:color w:val="0F4761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01768D92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3C21D53C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70927ADF" wp14:editId="3E80BE43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66" name="Imagen 66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8FE254D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48EA03B7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</w:tr>
    <w:tr w:rsidR="00CE3201" w14:paraId="1C2F2C5F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0A2F41" w:themeColor="accent1" w:themeShade="80"/>
            <w:right w:val="nil"/>
          </w:tcBorders>
        </w:tcPr>
        <w:p w14:paraId="36EC039D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17536C7D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7675B1B4" w14:textId="77777777" w:rsidR="00C457B7" w:rsidRPr="00CE3201" w:rsidRDefault="00C457B7" w:rsidP="00A71679">
          <w:pPr>
            <w:pStyle w:val="Encabezado"/>
            <w:jc w:val="center"/>
            <w:rPr>
              <w:b/>
              <w:bCs/>
              <w:color w:val="0F4761" w:themeColor="accent1" w:themeShade="BF"/>
            </w:rPr>
          </w:pPr>
        </w:p>
      </w:tc>
    </w:tr>
  </w:tbl>
  <w:p w14:paraId="58C5F43A" w14:textId="77777777" w:rsidR="00C457B7" w:rsidRDefault="00C457B7" w:rsidP="00A71679">
    <w:pPr>
      <w:pStyle w:val="Encabezado"/>
      <w:jc w:val="center"/>
    </w:pPr>
  </w:p>
  <w:p w14:paraId="3D374C5B" w14:textId="77777777" w:rsidR="00C457B7" w:rsidRDefault="00C457B7" w:rsidP="00A71679">
    <w:pPr>
      <w:pStyle w:val="Encabezado"/>
      <w:jc w:val="center"/>
    </w:pPr>
  </w:p>
  <w:p w14:paraId="0D791F7F" w14:textId="77777777" w:rsidR="00C457B7" w:rsidRDefault="00C457B7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CD746B"/>
    <w:multiLevelType w:val="hybridMultilevel"/>
    <w:tmpl w:val="17F0D8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522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B7"/>
    <w:rsid w:val="00061957"/>
    <w:rsid w:val="000716C2"/>
    <w:rsid w:val="00080CA6"/>
    <w:rsid w:val="000D70D7"/>
    <w:rsid w:val="000F06B0"/>
    <w:rsid w:val="00100F3A"/>
    <w:rsid w:val="00115E4D"/>
    <w:rsid w:val="00150B6A"/>
    <w:rsid w:val="0016160B"/>
    <w:rsid w:val="001868D7"/>
    <w:rsid w:val="00190AD6"/>
    <w:rsid w:val="001E7619"/>
    <w:rsid w:val="001F1C58"/>
    <w:rsid w:val="001F6B9E"/>
    <w:rsid w:val="002169D6"/>
    <w:rsid w:val="002437E4"/>
    <w:rsid w:val="00243ACB"/>
    <w:rsid w:val="0026600E"/>
    <w:rsid w:val="0027394A"/>
    <w:rsid w:val="002D125F"/>
    <w:rsid w:val="003307D5"/>
    <w:rsid w:val="00385539"/>
    <w:rsid w:val="003C1BAE"/>
    <w:rsid w:val="003D45CC"/>
    <w:rsid w:val="003F3A20"/>
    <w:rsid w:val="004032B7"/>
    <w:rsid w:val="00404F85"/>
    <w:rsid w:val="004216AD"/>
    <w:rsid w:val="00485AE7"/>
    <w:rsid w:val="004B0A08"/>
    <w:rsid w:val="00507894"/>
    <w:rsid w:val="0053237C"/>
    <w:rsid w:val="00535266"/>
    <w:rsid w:val="00537080"/>
    <w:rsid w:val="0057383D"/>
    <w:rsid w:val="005C31C0"/>
    <w:rsid w:val="005C715E"/>
    <w:rsid w:val="005E02D6"/>
    <w:rsid w:val="005E5249"/>
    <w:rsid w:val="0063499D"/>
    <w:rsid w:val="006628CE"/>
    <w:rsid w:val="006734B2"/>
    <w:rsid w:val="006B0690"/>
    <w:rsid w:val="006D4D02"/>
    <w:rsid w:val="006D7709"/>
    <w:rsid w:val="00707170"/>
    <w:rsid w:val="00712D96"/>
    <w:rsid w:val="00723DA8"/>
    <w:rsid w:val="007573D6"/>
    <w:rsid w:val="00801859"/>
    <w:rsid w:val="00847E79"/>
    <w:rsid w:val="00863AB7"/>
    <w:rsid w:val="0088243C"/>
    <w:rsid w:val="008E3416"/>
    <w:rsid w:val="00904F28"/>
    <w:rsid w:val="00905F13"/>
    <w:rsid w:val="00911BD1"/>
    <w:rsid w:val="00916D12"/>
    <w:rsid w:val="00946342"/>
    <w:rsid w:val="00947511"/>
    <w:rsid w:val="00956670"/>
    <w:rsid w:val="00971AD8"/>
    <w:rsid w:val="0097327C"/>
    <w:rsid w:val="009C5C47"/>
    <w:rsid w:val="00A900EB"/>
    <w:rsid w:val="00A967C1"/>
    <w:rsid w:val="00AA7ED5"/>
    <w:rsid w:val="00AF748E"/>
    <w:rsid w:val="00B563F2"/>
    <w:rsid w:val="00B634D5"/>
    <w:rsid w:val="00B72B90"/>
    <w:rsid w:val="00B95F45"/>
    <w:rsid w:val="00BA07D6"/>
    <w:rsid w:val="00BA70DF"/>
    <w:rsid w:val="00BC12ED"/>
    <w:rsid w:val="00BC5AFF"/>
    <w:rsid w:val="00BF346C"/>
    <w:rsid w:val="00C13BF8"/>
    <w:rsid w:val="00C16906"/>
    <w:rsid w:val="00C457B7"/>
    <w:rsid w:val="00C66133"/>
    <w:rsid w:val="00C86B38"/>
    <w:rsid w:val="00D206FA"/>
    <w:rsid w:val="00D63075"/>
    <w:rsid w:val="00D91490"/>
    <w:rsid w:val="00E071CA"/>
    <w:rsid w:val="00E34E3A"/>
    <w:rsid w:val="00E40A3F"/>
    <w:rsid w:val="00E5068D"/>
    <w:rsid w:val="00E94727"/>
    <w:rsid w:val="00EA1EDA"/>
    <w:rsid w:val="00EE60AB"/>
    <w:rsid w:val="00EF7A6E"/>
    <w:rsid w:val="00F23F7B"/>
    <w:rsid w:val="00F26E5C"/>
    <w:rsid w:val="00F426F5"/>
    <w:rsid w:val="00F4322A"/>
    <w:rsid w:val="00F64F67"/>
    <w:rsid w:val="00FB7D06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EC609"/>
  <w15:chartTrackingRefBased/>
  <w15:docId w15:val="{6077F623-3C45-44FF-9BAE-23DA6E71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7B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457B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457B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457B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457B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457B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457B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457B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457B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457B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457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457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457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457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457B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457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457B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457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457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457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457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457B7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457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457B7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457B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457B7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457B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457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457B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457B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C4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457B7"/>
    <w:rPr>
      <w:kern w:val="0"/>
      <w:sz w:val="22"/>
      <w:szCs w:val="22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C457B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457B7"/>
    <w:rPr>
      <w:kern w:val="0"/>
      <w:sz w:val="22"/>
      <w:szCs w:val="22"/>
      <w14:ligatures w14:val="none"/>
    </w:rPr>
  </w:style>
  <w:style w:type="table" w:styleId="Tablaconcuadrcula">
    <w:name w:val="Table Grid"/>
    <w:basedOn w:val="Tablanormal"/>
    <w:uiPriority w:val="39"/>
    <w:rsid w:val="00C457B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457B7"/>
    <w:rPr>
      <w:color w:val="467886" w:themeColor="hyperlink"/>
      <w:u w:val="single"/>
    </w:rPr>
  </w:style>
  <w:style w:type="paragraph" w:styleId="Sinespaciado">
    <w:name w:val="No Spacing"/>
    <w:uiPriority w:val="1"/>
    <w:qFormat/>
    <w:rsid w:val="00C457B7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cap="none" spc="0" baseline="0">
                <a:ln w="0"/>
                <a:solidFill>
                  <a:schemeClr val="accent1">
                    <a:lumMod val="75000"/>
                  </a:schemeClr>
                </a:solidFill>
                <a:effectLst/>
                <a:latin typeface="Avenir Next LT Pro Light" panose="020B0304020202020204" pitchFamily="34" charset="0"/>
                <a:ea typeface="+mn-ea"/>
                <a:cs typeface="+mn-cs"/>
              </a:defRPr>
            </a:pPr>
            <a:r>
              <a:rPr lang="en-US" sz="1200" b="1" cap="none" spc="0">
                <a:ln w="0"/>
                <a:solidFill>
                  <a:schemeClr val="accent1">
                    <a:lumMod val="75000"/>
                  </a:schemeClr>
                </a:solidFill>
                <a:effectLst/>
                <a:latin typeface="Avenir Next LT Pro Light" panose="020B0304020202020204" pitchFamily="34" charset="0"/>
              </a:rPr>
              <a:t>Escritos Iniciales Recibidos 2026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cap="none" spc="0" baseline="0">
              <a:ln w="0"/>
              <a:solidFill>
                <a:schemeClr val="accent1">
                  <a:lumMod val="75000"/>
                </a:schemeClr>
              </a:solidFill>
              <a:effectLst/>
              <a:latin typeface="Avenir Next LT Pro Light" panose="020B0304020202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Escritos Iniciales Recibidos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AEDB-458D-B41B-06F0EE5CDBA9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AEDB-458D-B41B-06F0EE5CDBA9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AEDB-458D-B41B-06F0EE5CDBA9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AEDB-458D-B41B-06F0EE5CDBA9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AEDB-458D-B41B-06F0EE5CDBA9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AEDB-458D-B41B-06F0EE5CDBA9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AEDB-458D-B41B-06F0EE5CDBA9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AEDB-458D-B41B-06F0EE5CDBA9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AEDB-458D-B41B-06F0EE5CDBA9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AEDB-458D-B41B-06F0EE5CDBA9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AEDB-458D-B41B-06F0EE5CDBA9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AEDB-458D-B41B-06F0EE5CDBA9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AEDB-458D-B41B-06F0EE5CDBA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accent1">
                  <a:lumMod val="75000"/>
                </a:schemeClr>
              </a:solidFill>
              <a:latin typeface="Avenir Next LT Pro Light" panose="020B0304020202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Juicios Contenciosos Administrativos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24D6-4DEA-BCAC-892F8653A24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24D6-4DEA-BCAC-892F8653A24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24D6-4DEA-BCAC-892F8653A24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24D6-4DEA-BCAC-892F8653A24F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24D6-4DEA-BCAC-892F8653A24F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24D6-4DEA-BCAC-892F8653A24F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24D6-4DEA-BCAC-892F8653A24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24D6-4DEA-BCAC-892F8653A24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24D6-4DEA-BCAC-892F8653A24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24D6-4DEA-BCAC-892F8653A24F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24D6-4DEA-BCAC-892F8653A24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24D6-4DEA-BCAC-892F8653A24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24D6-4DEA-BCAC-892F8653A24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accent1">
                  <a:lumMod val="75000"/>
                </a:schemeClr>
              </a:solidFill>
              <a:latin typeface="Avenir Next LT Pro Light" panose="020B0304020202020204" pitchFamily="34" charset="0"/>
              <a:ea typeface="+mn-ea"/>
              <a:cs typeface="+mn-cs"/>
            </a:defRPr>
          </a:pPr>
          <a:endParaRPr lang="es-MX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Responsabilidades Administraivas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0E23-479A-9A27-3877634DEDCD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0E23-479A-9A27-3877634DEDCD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0E23-479A-9A27-3877634DEDCD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0E23-479A-9A27-3877634DEDCD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0E23-479A-9A27-3877634DEDCD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0E23-479A-9A27-3877634DEDCD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0E23-479A-9A27-3877634DEDCD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0E23-479A-9A27-3877634DEDCD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0E23-479A-9A27-3877634DEDCD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0E23-479A-9A27-3877634DEDCD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0E23-479A-9A27-3877634DEDCD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0E23-479A-9A27-3877634DEDCD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0E23-479A-9A27-3877634DED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Recursos de Reclamación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B47B-4EE5-816A-3AD6C2C9F83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B47B-4EE5-816A-3AD6C2C9F83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B47B-4EE5-816A-3AD6C2C9F83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B47B-4EE5-816A-3AD6C2C9F838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B47B-4EE5-816A-3AD6C2C9F838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B47B-4EE5-816A-3AD6C2C9F838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B47B-4EE5-816A-3AD6C2C9F838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B47B-4EE5-816A-3AD6C2C9F838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B47B-4EE5-816A-3AD6C2C9F838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B47B-4EE5-816A-3AD6C2C9F838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B47B-4EE5-816A-3AD6C2C9F838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B47B-4EE5-816A-3AD6C2C9F838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B47B-4EE5-816A-3AD6C2C9F838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Recursos de Apelación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alpha val="4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A-B47B-4EE5-816A-3AD6C2C9F838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B-B47B-4EE5-816A-3AD6C2C9F838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B47B-4EE5-816A-3AD6C2C9F838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D-B47B-4EE5-816A-3AD6C2C9F838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E-B47B-4EE5-816A-3AD6C2C9F838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F-B47B-4EE5-816A-3AD6C2C9F838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B47B-4EE5-816A-3AD6C2C9F838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1-B47B-4EE5-816A-3AD6C2C9F838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B47B-4EE5-816A-3AD6C2C9F838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3-B47B-4EE5-816A-3AD6C2C9F838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B47B-4EE5-816A-3AD6C2C9F838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5-B47B-4EE5-816A-3AD6C2C9F838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B47B-4EE5-816A-3AD6C2C9F838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B47B-4EE5-816A-3AD6C2C9F838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B47B-4EE5-816A-3AD6C2C9F838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B47B-4EE5-816A-3AD6C2C9F838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B47B-4EE5-816A-3AD6C2C9F838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B47B-4EE5-816A-3AD6C2C9F838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B47B-4EE5-816A-3AD6C2C9F838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B47B-4EE5-816A-3AD6C2C9F838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B47B-4EE5-816A-3AD6C2C9F838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B47B-4EE5-816A-3AD6C2C9F838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B47B-4EE5-816A-3AD6C2C9F838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B47B-4EE5-816A-3AD6C2C9F83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9-B47B-4EE5-816A-3AD6C2C9F8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Hoja1!$B$1</c:f>
              <c:strCache>
                <c:ptCount val="1"/>
                <c:pt idx="0">
                  <c:v>Amparos Directos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1-10ED-41B1-949A-8CED288DC7D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3-10ED-41B1-949A-8CED288DC7D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5-10ED-41B1-949A-8CED288DC7D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7-10ED-41B1-949A-8CED288DC7DF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9-10ED-41B1-949A-8CED288DC7DF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B-10ED-41B1-949A-8CED288DC7DF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D-10ED-41B1-949A-8CED288DC7D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/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0F-10ED-41B1-949A-8CED288DC7D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1-10ED-41B1-949A-8CED288DC7D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3-10ED-41B1-949A-8CED288DC7DF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5-10ED-41B1-949A-8CED288DC7D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7-10ED-41B1-949A-8CED288DC7DF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Hoja1!$B$2:$B$13</c:f>
              <c:numCache>
                <c:formatCode>General</c:formatCode>
                <c:ptCount val="12"/>
                <c:pt idx="0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8-10ED-41B1-949A-8CED288DC7DF}"/>
            </c:ext>
          </c:extLst>
        </c:ser>
        <c:ser>
          <c:idx val="1"/>
          <c:order val="1"/>
          <c:tx>
            <c:strRef>
              <c:f>Hoja1!$C$1</c:f>
              <c:strCache>
                <c:ptCount val="1"/>
                <c:pt idx="0">
                  <c:v>Amparos Indirectos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chemeClr val="accent6">
                  <a:alpha val="46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A-10ED-41B1-949A-8CED288DC7DF}"/>
              </c:ext>
            </c:extLst>
          </c:dPt>
          <c:dPt>
            <c:idx val="1"/>
            <c:invertIfNegative val="0"/>
            <c:bubble3D val="0"/>
            <c:spPr>
              <a:solidFill>
                <a:schemeClr val="accent5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C-10ED-41B1-949A-8CED288DC7DF}"/>
              </c:ext>
            </c:extLst>
          </c:dPt>
          <c:dPt>
            <c:idx val="2"/>
            <c:invertIfNegative val="0"/>
            <c:bubble3D val="0"/>
            <c:spPr>
              <a:solidFill>
                <a:schemeClr val="accent4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1E-10ED-41B1-949A-8CED288DC7DF}"/>
              </c:ext>
            </c:extLst>
          </c:dPt>
          <c:dPt>
            <c:idx val="3"/>
            <c:invertIfNegative val="0"/>
            <c:bubble3D val="0"/>
            <c:spPr>
              <a:solidFill>
                <a:schemeClr val="accent2"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0-10ED-41B1-949A-8CED288DC7DF}"/>
              </c:ext>
            </c:extLst>
          </c:dPt>
          <c:dPt>
            <c:idx val="4"/>
            <c:invertIfNegative val="0"/>
            <c:bubble3D val="0"/>
            <c:spPr>
              <a:solidFill>
                <a:srgbClr val="EE0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2-10ED-41B1-949A-8CED288DC7DF}"/>
              </c:ext>
            </c:extLst>
          </c:dPt>
          <c:dPt>
            <c:idx val="5"/>
            <c:invertIfNegative val="0"/>
            <c:bubble3D val="0"/>
            <c:spPr>
              <a:solidFill>
                <a:srgbClr val="FFC00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4-10ED-41B1-949A-8CED288DC7DF}"/>
              </c:ext>
            </c:extLst>
          </c:dPt>
          <c:dPt>
            <c:idx val="6"/>
            <c:invertIfNegative val="0"/>
            <c:bubble3D val="0"/>
            <c:spPr>
              <a:solidFill>
                <a:srgbClr val="0070C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6-10ED-41B1-949A-8CED288DC7DF}"/>
              </c:ext>
            </c:extLst>
          </c:dPt>
          <c:dPt>
            <c:idx val="7"/>
            <c:invertIfNegative val="0"/>
            <c:bubble3D val="0"/>
            <c:spPr>
              <a:solidFill>
                <a:srgbClr val="002060">
                  <a:alpha val="44000"/>
                </a:srgb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8-10ED-41B1-949A-8CED288DC7DF}"/>
              </c:ext>
            </c:extLst>
          </c:dPt>
          <c:dPt>
            <c:idx val="8"/>
            <c:invertIfNegative val="0"/>
            <c:bubble3D val="0"/>
            <c:spPr>
              <a:solidFill>
                <a:schemeClr val="accent5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A-10ED-41B1-949A-8CED288DC7DF}"/>
              </c:ext>
            </c:extLst>
          </c:dPt>
          <c:dPt>
            <c:idx val="9"/>
            <c:invertIfNegative val="0"/>
            <c:bubble3D val="0"/>
            <c:spPr>
              <a:solidFill>
                <a:schemeClr val="accent6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C-10ED-41B1-949A-8CED288DC7DF}"/>
              </c:ext>
            </c:extLst>
          </c:dPt>
          <c:dPt>
            <c:idx val="10"/>
            <c:invertIfNegative val="0"/>
            <c:bubble3D val="0"/>
            <c:spPr>
              <a:solidFill>
                <a:schemeClr val="bg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2E-10ED-41B1-949A-8CED288DC7DF}"/>
              </c:ext>
            </c:extLst>
          </c:dPt>
          <c:dPt>
            <c:idx val="11"/>
            <c:invertIfNegative val="0"/>
            <c:bubble3D val="0"/>
            <c:spPr>
              <a:solidFill>
                <a:schemeClr val="accent2">
                  <a:lumMod val="75000"/>
                  <a:alpha val="44000"/>
                </a:schemeClr>
              </a:solidFill>
              <a:ln>
                <a:noFill/>
              </a:ln>
              <a:effectLst/>
            </c:spPr>
            <c:extLst>
              <c:ext xmlns:c16="http://schemas.microsoft.com/office/drawing/2014/chart" uri="{C3380CC4-5D6E-409C-BE32-E72D297353CC}">
                <c16:uniqueId val="{00000030-10ED-41B1-949A-8CED288DC7DF}"/>
              </c:ext>
            </c:extLst>
          </c:dPt>
          <c:dLbls>
            <c:dLbl>
              <c:idx val="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10ED-41B1-949A-8CED288DC7DF}"/>
                </c:ext>
              </c:extLst>
            </c:dLbl>
            <c:dLbl>
              <c:idx val="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10ED-41B1-949A-8CED288DC7DF}"/>
                </c:ext>
              </c:extLst>
            </c:dLbl>
            <c:dLbl>
              <c:idx val="2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10ED-41B1-949A-8CED288DC7DF}"/>
                </c:ext>
              </c:extLst>
            </c:dLbl>
            <c:dLbl>
              <c:idx val="3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10ED-41B1-949A-8CED288DC7DF}"/>
                </c:ext>
              </c:extLst>
            </c:dLbl>
            <c:dLbl>
              <c:idx val="4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10ED-41B1-949A-8CED288DC7DF}"/>
                </c:ext>
              </c:extLst>
            </c:dLbl>
            <c:dLbl>
              <c:idx val="5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10ED-41B1-949A-8CED288DC7DF}"/>
                </c:ext>
              </c:extLst>
            </c:dLbl>
            <c:dLbl>
              <c:idx val="6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10ED-41B1-949A-8CED288DC7DF}"/>
                </c:ext>
              </c:extLst>
            </c:dLbl>
            <c:dLbl>
              <c:idx val="7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10ED-41B1-949A-8CED288DC7DF}"/>
                </c:ext>
              </c:extLst>
            </c:dLbl>
            <c:dLbl>
              <c:idx val="8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10ED-41B1-949A-8CED288DC7DF}"/>
                </c:ext>
              </c:extLst>
            </c:dLbl>
            <c:dLbl>
              <c:idx val="9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10ED-41B1-949A-8CED288DC7DF}"/>
                </c:ext>
              </c:extLst>
            </c:dLbl>
            <c:dLbl>
              <c:idx val="10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10ED-41B1-949A-8CED288DC7DF}"/>
                </c:ext>
              </c:extLst>
            </c:dLbl>
            <c:dLbl>
              <c:idx val="11"/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10ED-41B1-949A-8CED288DC7D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venir Next LT Pro" panose="020B0504020202020204" pitchFamily="34" charset="0"/>
                    <a:ea typeface="+mn-ea"/>
                    <a:cs typeface="+mn-cs"/>
                  </a:defRPr>
                </a:pPr>
                <a:endParaRPr lang="es-MX"/>
              </a:p>
            </c:txPr>
            <c:dLblPos val="outEnd"/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Hoja1!$A$2:$A$13</c:f>
              <c:strCache>
                <c:ptCount val="12"/>
                <c:pt idx="0">
                  <c:v>Ene</c:v>
                </c:pt>
                <c:pt idx="1">
                  <c:v>Feb</c:v>
                </c:pt>
                <c:pt idx="2">
                  <c:v>Mar</c:v>
                </c:pt>
                <c:pt idx="3">
                  <c:v>Abr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Ago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Dic</c:v>
                </c:pt>
              </c:strCache>
            </c:strRef>
          </c:cat>
          <c:val>
            <c:numRef>
              <c:f>Hoja1!$C$2:$C$13</c:f>
              <c:numCache>
                <c:formatCode>General</c:formatCode>
                <c:ptCount val="12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31-10ED-41B1-949A-8CED288DC7D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"/>
        <c:axId val="978729696"/>
        <c:axId val="978728736"/>
      </c:barChart>
      <c:catAx>
        <c:axId val="97872969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8736"/>
        <c:crosses val="autoZero"/>
        <c:auto val="1"/>
        <c:lblAlgn val="ctr"/>
        <c:lblOffset val="100"/>
        <c:noMultiLvlLbl val="0"/>
      </c:catAx>
      <c:valAx>
        <c:axId val="9787287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  <c:crossAx val="978729696"/>
        <c:crosses val="autoZero"/>
        <c:crossBetween val="between"/>
      </c:valAx>
      <c:dTable>
        <c:showHorzBorder val="1"/>
        <c:showVertBorder val="1"/>
        <c:showOutline val="1"/>
        <c:showKeys val="0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venir Next LT Pro" panose="020B0504020202020204" pitchFamily="34" charset="0"/>
                <a:ea typeface="+mn-ea"/>
                <a:cs typeface="+mn-cs"/>
              </a:defRPr>
            </a:pPr>
            <a:endParaRPr lang="es-MX"/>
          </a:p>
        </c:txPr>
      </c:dTable>
      <c:spPr>
        <a:noFill/>
        <a:ln>
          <a:noFill/>
        </a:ln>
        <a:effectLst/>
      </c:spPr>
    </c:plotArea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Avenir Next LT Pro" panose="020B0504020202020204" pitchFamily="34" charset="0"/>
        </a:defRPr>
      </a:pPr>
      <a:endParaRPr lang="es-MX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</Words>
  <Characters>315</Characters>
  <Application>Microsoft Office Word</Application>
  <DocSecurity>0</DocSecurity>
  <Lines>43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Perez</dc:creator>
  <cp:keywords/>
  <dc:description/>
  <cp:lastModifiedBy>Gabriela Perez Garza</cp:lastModifiedBy>
  <cp:revision>3</cp:revision>
  <cp:lastPrinted>2026-02-10T17:49:00Z</cp:lastPrinted>
  <dcterms:created xsi:type="dcterms:W3CDTF">2026-02-10T17:48:00Z</dcterms:created>
  <dcterms:modified xsi:type="dcterms:W3CDTF">2026-02-10T17:49:00Z</dcterms:modified>
</cp:coreProperties>
</file>