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96CAC" w14:textId="32DB97D7" w:rsidR="006675AD" w:rsidRPr="00C840B1" w:rsidRDefault="0097090D" w:rsidP="006675AD">
      <w:pPr>
        <w:tabs>
          <w:tab w:val="left" w:pos="1125"/>
          <w:tab w:val="center" w:pos="4419"/>
        </w:tabs>
        <w:spacing w:after="0" w:line="360" w:lineRule="auto"/>
        <w:jc w:val="center"/>
        <w:rPr>
          <w:rFonts w:ascii="Avenir Next LT Pro Light" w:hAnsi="Avenir Next LT Pro Light"/>
          <w:b/>
        </w:rPr>
      </w:pPr>
      <w:r w:rsidRPr="00C840B1">
        <w:rPr>
          <w:rFonts w:ascii="Avenir Next LT Pro Light" w:hAnsi="Avenir Next LT Pro Light"/>
          <w:b/>
        </w:rPr>
        <w:t xml:space="preserve">Artículo </w:t>
      </w:r>
      <w:r w:rsidR="00190C2A">
        <w:rPr>
          <w:rFonts w:ascii="Avenir Next LT Pro Light" w:hAnsi="Avenir Next LT Pro Light"/>
          <w:b/>
        </w:rPr>
        <w:t>65</w:t>
      </w:r>
      <w:r w:rsidRPr="00C840B1">
        <w:rPr>
          <w:rFonts w:ascii="Avenir Next LT Pro Light" w:hAnsi="Avenir Next LT Pro Light"/>
          <w:b/>
        </w:rPr>
        <w:t xml:space="preserve"> de la Ley </w:t>
      </w:r>
      <w:r w:rsidR="00885D3C">
        <w:rPr>
          <w:rFonts w:ascii="Avenir Next LT Pro Light" w:hAnsi="Avenir Next LT Pro Light"/>
          <w:b/>
        </w:rPr>
        <w:t xml:space="preserve">de </w:t>
      </w:r>
      <w:r w:rsidR="00190C2A">
        <w:rPr>
          <w:rFonts w:ascii="Avenir Next LT Pro Light" w:hAnsi="Avenir Next LT Pro Light"/>
          <w:b/>
        </w:rPr>
        <w:t xml:space="preserve">General de </w:t>
      </w:r>
      <w:r w:rsidR="00885D3C">
        <w:rPr>
          <w:rFonts w:ascii="Avenir Next LT Pro Light" w:hAnsi="Avenir Next LT Pro Light"/>
          <w:b/>
        </w:rPr>
        <w:t>Transparencia y</w:t>
      </w:r>
      <w:r w:rsidRPr="00C840B1">
        <w:rPr>
          <w:rFonts w:ascii="Avenir Next LT Pro Light" w:hAnsi="Avenir Next LT Pro Light"/>
          <w:b/>
        </w:rPr>
        <w:t xml:space="preserve"> Acceso a la Información Pública</w:t>
      </w:r>
    </w:p>
    <w:p w14:paraId="03218D58" w14:textId="2D5CEA1A" w:rsidR="0097090D" w:rsidRPr="00C840B1" w:rsidRDefault="0097090D" w:rsidP="006675AD">
      <w:pPr>
        <w:tabs>
          <w:tab w:val="left" w:pos="1125"/>
          <w:tab w:val="center" w:pos="4419"/>
        </w:tabs>
        <w:spacing w:after="0" w:line="360" w:lineRule="auto"/>
        <w:jc w:val="center"/>
        <w:rPr>
          <w:rFonts w:ascii="Avenir Next LT Pro Light" w:hAnsi="Avenir Next LT Pro Light"/>
          <w:b/>
        </w:rPr>
      </w:pPr>
    </w:p>
    <w:p w14:paraId="3938169A" w14:textId="77777777" w:rsidR="0097090D" w:rsidRPr="00C840B1" w:rsidRDefault="0097090D" w:rsidP="0097090D">
      <w:pPr>
        <w:spacing w:after="0" w:line="360" w:lineRule="auto"/>
        <w:jc w:val="center"/>
        <w:rPr>
          <w:rFonts w:ascii="Avenir Next LT Pro Light" w:hAnsi="Avenir Next LT Pro Light"/>
        </w:rPr>
      </w:pPr>
    </w:p>
    <w:p w14:paraId="37C7EB8C" w14:textId="17B3B0A2" w:rsidR="0097090D" w:rsidRPr="00C840B1" w:rsidRDefault="0097090D" w:rsidP="0097090D">
      <w:pPr>
        <w:spacing w:after="0" w:line="360" w:lineRule="auto"/>
        <w:jc w:val="both"/>
        <w:rPr>
          <w:rFonts w:ascii="Avenir Next LT Pro Light" w:hAnsi="Avenir Next LT Pro Light"/>
        </w:rPr>
      </w:pPr>
      <w:r w:rsidRPr="00C840B1">
        <w:rPr>
          <w:rFonts w:ascii="Avenir Next LT Pro Light" w:hAnsi="Avenir Next LT Pro Light"/>
          <w:b/>
        </w:rPr>
        <w:t xml:space="preserve">Fracción </w:t>
      </w:r>
      <w:r w:rsidR="00885D3C">
        <w:rPr>
          <w:rFonts w:ascii="Avenir Next LT Pro Light" w:hAnsi="Avenir Next LT Pro Light"/>
          <w:b/>
        </w:rPr>
        <w:t>X</w:t>
      </w:r>
      <w:r w:rsidR="00190C2A">
        <w:rPr>
          <w:rFonts w:ascii="Avenir Next LT Pro Light" w:hAnsi="Avenir Next LT Pro Light"/>
          <w:b/>
        </w:rPr>
        <w:t>LVI</w:t>
      </w:r>
      <w:r w:rsidRPr="00C840B1">
        <w:rPr>
          <w:rFonts w:ascii="Avenir Next LT Pro Light" w:hAnsi="Avenir Next LT Pro Light"/>
          <w:b/>
        </w:rPr>
        <w:t>.-</w:t>
      </w:r>
      <w:r w:rsidRPr="00C840B1">
        <w:rPr>
          <w:rFonts w:ascii="Avenir Next LT Pro Light" w:hAnsi="Avenir Next LT Pro Light"/>
        </w:rPr>
        <w:t xml:space="preserve"> </w:t>
      </w:r>
      <w:r w:rsidR="00F177FD" w:rsidRPr="00F177FD">
        <w:rPr>
          <w:rFonts w:ascii="Avenir Next LT Pro Light" w:hAnsi="Avenir Next LT Pro Light"/>
        </w:rPr>
        <w:t>Cualquier otra información que sea de utilidad o se considere relevante, y la que se encuentre prevista en otras disposiciones jurídicas aplicables.</w:t>
      </w:r>
    </w:p>
    <w:p w14:paraId="1DDAFFC1" w14:textId="77777777" w:rsidR="0097090D" w:rsidRPr="00C840B1" w:rsidRDefault="0097090D" w:rsidP="0097090D">
      <w:pPr>
        <w:spacing w:after="0" w:line="240" w:lineRule="auto"/>
        <w:jc w:val="both"/>
        <w:rPr>
          <w:rFonts w:ascii="Avenir Next LT Pro Light" w:hAnsi="Avenir Next LT Pro Light"/>
        </w:rPr>
      </w:pPr>
    </w:p>
    <w:p w14:paraId="75923F70" w14:textId="77777777" w:rsidR="0097090D" w:rsidRPr="00C840B1" w:rsidRDefault="0097090D" w:rsidP="0097090D">
      <w:pPr>
        <w:spacing w:after="0" w:line="240" w:lineRule="auto"/>
        <w:jc w:val="center"/>
        <w:rPr>
          <w:rFonts w:ascii="Avenir Next LT Pro Light" w:hAnsi="Avenir Next LT Pro Light"/>
        </w:rPr>
      </w:pPr>
    </w:p>
    <w:p w14:paraId="0698B1F6" w14:textId="77777777" w:rsidR="0097090D" w:rsidRPr="00C840B1" w:rsidRDefault="0097090D" w:rsidP="0097090D">
      <w:pPr>
        <w:spacing w:after="0" w:line="360" w:lineRule="auto"/>
        <w:jc w:val="both"/>
        <w:rPr>
          <w:rFonts w:ascii="Avenir Next LT Pro Light" w:hAnsi="Avenir Next LT Pro Light"/>
        </w:rPr>
      </w:pPr>
      <w:bookmarkStart w:id="0" w:name="_Hlk510538934"/>
      <w:r w:rsidRPr="00C840B1">
        <w:rPr>
          <w:rFonts w:ascii="Avenir Next LT Pro Light" w:hAnsi="Avenir Next LT Pro Light"/>
        </w:rPr>
        <w:t>Como órgano jurisdiccional de nueva creación, de conformidad al decreto 910, publicado en el Periódico Oficial del Gobierno del Estado de Coahuila de Zaragoza en fecha viernes once de agosto de dos mil diecisiete, dio inicio en sus operaciones el día veintinueve de septiembre del dos mil diecisiete, de conformidad al Cuarto Transitorio de la Ley Orgánica del Tribunal de Justicia Administrativa de Coahuila de Zaragoza. Las actuaciones jurisdiccionales y administrativas para efecto de evaluación correspondiente se deben aplicar únicamente a partir del último trimestre del ejercicio 2017.</w:t>
      </w:r>
    </w:p>
    <w:bookmarkEnd w:id="0"/>
    <w:p w14:paraId="2AEFF107" w14:textId="77777777" w:rsidR="0097090D" w:rsidRPr="00C840B1" w:rsidRDefault="0097090D" w:rsidP="0097090D">
      <w:pPr>
        <w:rPr>
          <w:rFonts w:ascii="Avenir Next LT Pro Light" w:hAnsi="Avenir Next LT Pro Light"/>
        </w:rPr>
      </w:pPr>
    </w:p>
    <w:p w14:paraId="78BFF470" w14:textId="3BB66F8E" w:rsidR="0097090D" w:rsidRPr="00C840B1" w:rsidRDefault="0097090D" w:rsidP="0097090D">
      <w:pPr>
        <w:rPr>
          <w:rFonts w:ascii="Avenir Next LT Pro Light" w:hAnsi="Avenir Next LT Pro Light"/>
          <w:sz w:val="24"/>
          <w:szCs w:val="24"/>
        </w:rPr>
      </w:pPr>
    </w:p>
    <w:p w14:paraId="60E26091" w14:textId="39BEDEF8" w:rsidR="0097090D" w:rsidRPr="00C840B1" w:rsidRDefault="0097090D" w:rsidP="0097090D">
      <w:pPr>
        <w:rPr>
          <w:rFonts w:ascii="Avenir Next LT Pro Light" w:hAnsi="Avenir Next LT Pro Light"/>
          <w:sz w:val="24"/>
          <w:szCs w:val="24"/>
        </w:rPr>
      </w:pPr>
    </w:p>
    <w:p w14:paraId="6A7CA296" w14:textId="77777777" w:rsidR="006675AD" w:rsidRPr="00C840B1" w:rsidRDefault="006675AD" w:rsidP="0097090D">
      <w:pPr>
        <w:rPr>
          <w:rFonts w:ascii="Avenir Next LT Pro Light" w:hAnsi="Avenir Next LT Pro Light"/>
          <w:sz w:val="24"/>
          <w:szCs w:val="24"/>
        </w:rPr>
      </w:pPr>
    </w:p>
    <w:p w14:paraId="6F0A60EC" w14:textId="77777777" w:rsidR="0097090D" w:rsidRPr="00885D3C" w:rsidRDefault="0097090D" w:rsidP="0097090D">
      <w:pPr>
        <w:pStyle w:val="NormalWeb"/>
        <w:spacing w:before="0" w:beforeAutospacing="0" w:after="0" w:afterAutospacing="0" w:line="360" w:lineRule="auto"/>
        <w:rPr>
          <w:rFonts w:ascii="Avenir Next LT Pro Light" w:hAnsi="Avenir Next LT Pro Light"/>
          <w:sz w:val="20"/>
          <w:szCs w:val="20"/>
        </w:rPr>
      </w:pPr>
      <w:r w:rsidRPr="00885D3C">
        <w:rPr>
          <w:rFonts w:ascii="Avenir Next LT Pro Light" w:hAnsi="Avenir Next LT Pro Light"/>
          <w:b/>
          <w:bCs/>
          <w:color w:val="000000"/>
          <w:sz w:val="20"/>
          <w:szCs w:val="20"/>
        </w:rPr>
        <w:t>Elaborado por:</w:t>
      </w:r>
      <w:r w:rsidRPr="00885D3C">
        <w:rPr>
          <w:rFonts w:ascii="Avenir Next LT Pro Light" w:hAnsi="Avenir Next LT Pro Light"/>
          <w:color w:val="000000"/>
          <w:sz w:val="20"/>
          <w:szCs w:val="20"/>
        </w:rPr>
        <w:t xml:space="preserve"> Idelia Constanza Reyes Tamez</w:t>
      </w:r>
    </w:p>
    <w:p w14:paraId="7C3531F2" w14:textId="77777777" w:rsidR="0097090D" w:rsidRPr="00885D3C" w:rsidRDefault="0097090D" w:rsidP="0097090D">
      <w:pPr>
        <w:pStyle w:val="NormalWeb"/>
        <w:spacing w:before="0" w:beforeAutospacing="0" w:after="0" w:afterAutospacing="0" w:line="360" w:lineRule="auto"/>
        <w:rPr>
          <w:rFonts w:ascii="Avenir Next LT Pro Light" w:hAnsi="Avenir Next LT Pro Light"/>
          <w:sz w:val="20"/>
          <w:szCs w:val="20"/>
        </w:rPr>
      </w:pPr>
      <w:r w:rsidRPr="00885D3C">
        <w:rPr>
          <w:rFonts w:ascii="Avenir Next LT Pro Light" w:hAnsi="Avenir Next LT Pro Light"/>
          <w:b/>
          <w:bCs/>
          <w:color w:val="000000"/>
          <w:sz w:val="20"/>
          <w:szCs w:val="20"/>
        </w:rPr>
        <w:t>Unidad Administrativa:</w:t>
      </w:r>
      <w:r w:rsidRPr="00885D3C">
        <w:rPr>
          <w:rFonts w:ascii="Avenir Next LT Pro Light" w:hAnsi="Avenir Next LT Pro Light"/>
          <w:color w:val="000000"/>
          <w:sz w:val="20"/>
          <w:szCs w:val="20"/>
        </w:rPr>
        <w:t xml:space="preserve"> Secretaría General de Acuerdos</w:t>
      </w:r>
    </w:p>
    <w:p w14:paraId="74862F1E" w14:textId="1BEFB4C0" w:rsidR="00885D3C" w:rsidRPr="00885D3C" w:rsidRDefault="00885D3C" w:rsidP="00885D3C">
      <w:pPr>
        <w:pStyle w:val="NormalWeb"/>
        <w:spacing w:before="0" w:beforeAutospacing="0" w:after="0" w:afterAutospacing="0" w:line="360" w:lineRule="auto"/>
        <w:rPr>
          <w:rFonts w:ascii="Avenir Next LT Pro Light" w:hAnsi="Avenir Next LT Pro Light"/>
          <w:sz w:val="20"/>
          <w:szCs w:val="20"/>
          <w:lang w:val="es-ES"/>
        </w:rPr>
      </w:pPr>
      <w:r w:rsidRPr="00885D3C">
        <w:rPr>
          <w:rFonts w:ascii="Avenir Next LT Pro Light" w:hAnsi="Avenir Next LT Pro Light"/>
          <w:b/>
          <w:bCs/>
          <w:color w:val="000000"/>
          <w:sz w:val="20"/>
          <w:szCs w:val="20"/>
        </w:rPr>
        <w:t>Fecha de actualización</w:t>
      </w:r>
      <w:r w:rsidR="00E01EA4">
        <w:rPr>
          <w:rFonts w:ascii="Avenir Next LT Pro Light" w:hAnsi="Avenir Next LT Pro Light"/>
          <w:b/>
          <w:bCs/>
          <w:color w:val="000000"/>
          <w:sz w:val="20"/>
          <w:szCs w:val="20"/>
        </w:rPr>
        <w:t xml:space="preserve"> y/o revisión</w:t>
      </w:r>
      <w:r w:rsidRPr="00885D3C">
        <w:rPr>
          <w:rFonts w:ascii="Avenir Next LT Pro Light" w:hAnsi="Avenir Next LT Pro Light"/>
          <w:b/>
          <w:bCs/>
          <w:color w:val="000000"/>
          <w:sz w:val="20"/>
          <w:szCs w:val="20"/>
        </w:rPr>
        <w:t>:</w:t>
      </w:r>
      <w:r w:rsidRPr="00885D3C">
        <w:rPr>
          <w:rFonts w:ascii="Avenir Next LT Pro Light" w:hAnsi="Avenir Next LT Pro Light"/>
          <w:color w:val="000000"/>
          <w:sz w:val="20"/>
          <w:szCs w:val="20"/>
        </w:rPr>
        <w:t xml:space="preserve"> </w:t>
      </w:r>
      <w:r w:rsidRPr="00885D3C">
        <w:rPr>
          <w:rFonts w:ascii="Avenir Next LT Pro Light" w:hAnsi="Avenir Next LT Pro Light"/>
          <w:sz w:val="20"/>
          <w:szCs w:val="20"/>
          <w:lang w:val="es-ES"/>
        </w:rPr>
        <w:t>0</w:t>
      </w:r>
      <w:r w:rsidR="00B60275">
        <w:rPr>
          <w:rFonts w:ascii="Avenir Next LT Pro Light" w:hAnsi="Avenir Next LT Pro Light"/>
          <w:sz w:val="20"/>
          <w:szCs w:val="20"/>
          <w:lang w:val="es-ES"/>
        </w:rPr>
        <w:t>1</w:t>
      </w:r>
      <w:r w:rsidRPr="00885D3C">
        <w:rPr>
          <w:rFonts w:ascii="Avenir Next LT Pro Light" w:hAnsi="Avenir Next LT Pro Light"/>
          <w:sz w:val="20"/>
          <w:szCs w:val="20"/>
          <w:lang w:val="es-ES"/>
        </w:rPr>
        <w:t xml:space="preserve"> de </w:t>
      </w:r>
      <w:r w:rsidR="00755BD9">
        <w:rPr>
          <w:rFonts w:ascii="Avenir Next LT Pro Light" w:hAnsi="Avenir Next LT Pro Light"/>
          <w:sz w:val="20"/>
          <w:szCs w:val="20"/>
          <w:lang w:val="es-ES"/>
        </w:rPr>
        <w:t>octubre</w:t>
      </w:r>
      <w:r w:rsidRPr="00885D3C">
        <w:rPr>
          <w:rFonts w:ascii="Avenir Next LT Pro Light" w:hAnsi="Avenir Next LT Pro Light"/>
          <w:sz w:val="20"/>
          <w:szCs w:val="20"/>
          <w:lang w:val="es-ES"/>
        </w:rPr>
        <w:t xml:space="preserve"> 2025</w:t>
      </w:r>
    </w:p>
    <w:p w14:paraId="11D87185" w14:textId="3787A8A6" w:rsidR="00EA76C8" w:rsidRPr="00C840B1" w:rsidRDefault="00EA76C8" w:rsidP="0097090D">
      <w:pPr>
        <w:spacing w:after="0"/>
        <w:rPr>
          <w:rFonts w:ascii="Avenir Next LT Pro Light" w:hAnsi="Avenir Next LT Pro Light" w:cs="Arial"/>
          <w:color w:val="2F5496" w:themeColor="accent1" w:themeShade="BF"/>
          <w:lang w:val="en-US"/>
        </w:rPr>
      </w:pPr>
    </w:p>
    <w:sectPr w:rsidR="00EA76C8" w:rsidRPr="00C840B1" w:rsidSect="00E82EB9">
      <w:headerReference w:type="even" r:id="rId7"/>
      <w:headerReference w:type="default" r:id="rId8"/>
      <w:footerReference w:type="even" r:id="rId9"/>
      <w:footerReference w:type="default" r:id="rId10"/>
      <w:headerReference w:type="first" r:id="rId11"/>
      <w:footerReference w:type="first" r:id="rId12"/>
      <w:pgSz w:w="12240" w:h="15840"/>
      <w:pgMar w:top="2625" w:right="1701" w:bottom="1417" w:left="1701"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9F1D" w14:textId="77777777" w:rsidR="00A471A2" w:rsidRDefault="00A471A2" w:rsidP="00A71679">
      <w:pPr>
        <w:spacing w:after="0" w:line="240" w:lineRule="auto"/>
      </w:pPr>
      <w:r>
        <w:separator/>
      </w:r>
    </w:p>
  </w:endnote>
  <w:endnote w:type="continuationSeparator" w:id="0">
    <w:p w14:paraId="3F5A09FF" w14:textId="77777777" w:rsidR="00A471A2" w:rsidRDefault="00A471A2"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C0D5A" w14:textId="77777777" w:rsidR="00E82EB9" w:rsidRDefault="00E82E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1"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E82EB9">
      <w:rPr>
        <w:rFonts w:ascii="Avenir Next LT Pro" w:eastAsia="Times New Roman" w:hAnsi="Avenir Next LT Pro" w:cs="Arial"/>
        <w:color w:val="1F3864" w:themeColor="accent1" w:themeShade="80"/>
        <w:sz w:val="16"/>
        <w:szCs w:val="16"/>
        <w:lang w:eastAsia="es-MX"/>
      </w:rPr>
      <w:t>Presidente</w:t>
    </w:r>
    <w:proofErr w:type="gramEnd"/>
    <w:r w:rsidRPr="00E82EB9">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1"/>
  <w:p w14:paraId="3227E1C5" w14:textId="6E1FD3F1" w:rsidR="00A71679" w:rsidRDefault="00A716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C1" w14:textId="77777777" w:rsidR="00E82EB9" w:rsidRDefault="00E82E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7882C" w14:textId="77777777" w:rsidR="00A471A2" w:rsidRDefault="00A471A2" w:rsidP="00A71679">
      <w:pPr>
        <w:spacing w:after="0" w:line="240" w:lineRule="auto"/>
      </w:pPr>
      <w:r>
        <w:separator/>
      </w:r>
    </w:p>
  </w:footnote>
  <w:footnote w:type="continuationSeparator" w:id="0">
    <w:p w14:paraId="69411055" w14:textId="77777777" w:rsidR="00A471A2" w:rsidRDefault="00A471A2"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0301" w14:textId="77777777" w:rsidR="00E82EB9" w:rsidRDefault="00E82E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66" name="Imagen 6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FA3" w14:textId="77777777" w:rsidR="00E82EB9" w:rsidRDefault="00E82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216791">
    <w:abstractNumId w:val="1"/>
  </w:num>
  <w:num w:numId="2" w16cid:durableId="155681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34082"/>
    <w:rsid w:val="000500AB"/>
    <w:rsid w:val="000652AD"/>
    <w:rsid w:val="0009537E"/>
    <w:rsid w:val="000D3EAC"/>
    <w:rsid w:val="000D69B4"/>
    <w:rsid w:val="000E5EB2"/>
    <w:rsid w:val="0012182B"/>
    <w:rsid w:val="001542F7"/>
    <w:rsid w:val="00167228"/>
    <w:rsid w:val="00190C2A"/>
    <w:rsid w:val="0019698E"/>
    <w:rsid w:val="001D0611"/>
    <w:rsid w:val="001E7841"/>
    <w:rsid w:val="001F3EDE"/>
    <w:rsid w:val="00275D6A"/>
    <w:rsid w:val="002F03CC"/>
    <w:rsid w:val="002F5643"/>
    <w:rsid w:val="002F587F"/>
    <w:rsid w:val="00300981"/>
    <w:rsid w:val="003055AE"/>
    <w:rsid w:val="00374144"/>
    <w:rsid w:val="00380363"/>
    <w:rsid w:val="00385137"/>
    <w:rsid w:val="003B4F69"/>
    <w:rsid w:val="003B6752"/>
    <w:rsid w:val="003D2A04"/>
    <w:rsid w:val="003D78FF"/>
    <w:rsid w:val="003D7E9B"/>
    <w:rsid w:val="003F54F8"/>
    <w:rsid w:val="00400CF8"/>
    <w:rsid w:val="00405EDD"/>
    <w:rsid w:val="00444387"/>
    <w:rsid w:val="00455911"/>
    <w:rsid w:val="00473704"/>
    <w:rsid w:val="00493F12"/>
    <w:rsid w:val="004E5ABA"/>
    <w:rsid w:val="004F00D3"/>
    <w:rsid w:val="004F06B5"/>
    <w:rsid w:val="0050545A"/>
    <w:rsid w:val="00511EF6"/>
    <w:rsid w:val="00521298"/>
    <w:rsid w:val="0052681C"/>
    <w:rsid w:val="005464D3"/>
    <w:rsid w:val="00562130"/>
    <w:rsid w:val="005657C5"/>
    <w:rsid w:val="005817E5"/>
    <w:rsid w:val="00596651"/>
    <w:rsid w:val="005A3E58"/>
    <w:rsid w:val="005E2B94"/>
    <w:rsid w:val="006220F4"/>
    <w:rsid w:val="00642A40"/>
    <w:rsid w:val="006675AD"/>
    <w:rsid w:val="00677E14"/>
    <w:rsid w:val="00682803"/>
    <w:rsid w:val="00683CBE"/>
    <w:rsid w:val="006B1488"/>
    <w:rsid w:val="006B1559"/>
    <w:rsid w:val="006E3AF6"/>
    <w:rsid w:val="006E4543"/>
    <w:rsid w:val="006F23A8"/>
    <w:rsid w:val="0070325F"/>
    <w:rsid w:val="0072014B"/>
    <w:rsid w:val="00746568"/>
    <w:rsid w:val="00755BD9"/>
    <w:rsid w:val="0077076B"/>
    <w:rsid w:val="0079688C"/>
    <w:rsid w:val="007A3E80"/>
    <w:rsid w:val="007A635D"/>
    <w:rsid w:val="007B1E02"/>
    <w:rsid w:val="007B3980"/>
    <w:rsid w:val="007D7398"/>
    <w:rsid w:val="007E09E3"/>
    <w:rsid w:val="007E0FD4"/>
    <w:rsid w:val="007E256B"/>
    <w:rsid w:val="00804758"/>
    <w:rsid w:val="00807624"/>
    <w:rsid w:val="0081319F"/>
    <w:rsid w:val="0081740C"/>
    <w:rsid w:val="008260C4"/>
    <w:rsid w:val="00826357"/>
    <w:rsid w:val="008513CD"/>
    <w:rsid w:val="00856478"/>
    <w:rsid w:val="00880F29"/>
    <w:rsid w:val="0088480A"/>
    <w:rsid w:val="00885D3C"/>
    <w:rsid w:val="00891297"/>
    <w:rsid w:val="00891404"/>
    <w:rsid w:val="008E3BE7"/>
    <w:rsid w:val="0094391E"/>
    <w:rsid w:val="009446AF"/>
    <w:rsid w:val="0097090D"/>
    <w:rsid w:val="0097660A"/>
    <w:rsid w:val="009879B2"/>
    <w:rsid w:val="009D63AE"/>
    <w:rsid w:val="00A23572"/>
    <w:rsid w:val="00A471A2"/>
    <w:rsid w:val="00A60E03"/>
    <w:rsid w:val="00A71679"/>
    <w:rsid w:val="00A91AE3"/>
    <w:rsid w:val="00AA26A9"/>
    <w:rsid w:val="00AA492A"/>
    <w:rsid w:val="00AA5C73"/>
    <w:rsid w:val="00AD55FF"/>
    <w:rsid w:val="00AE1FE2"/>
    <w:rsid w:val="00AE7AA0"/>
    <w:rsid w:val="00B0674C"/>
    <w:rsid w:val="00B06FEB"/>
    <w:rsid w:val="00B21043"/>
    <w:rsid w:val="00B216E0"/>
    <w:rsid w:val="00B60275"/>
    <w:rsid w:val="00B62532"/>
    <w:rsid w:val="00B65CA2"/>
    <w:rsid w:val="00BA3CA2"/>
    <w:rsid w:val="00BD4152"/>
    <w:rsid w:val="00BE52B0"/>
    <w:rsid w:val="00C0566D"/>
    <w:rsid w:val="00C07DAA"/>
    <w:rsid w:val="00C109D2"/>
    <w:rsid w:val="00C44652"/>
    <w:rsid w:val="00C52069"/>
    <w:rsid w:val="00C52B06"/>
    <w:rsid w:val="00C54D7A"/>
    <w:rsid w:val="00C840B1"/>
    <w:rsid w:val="00C97E85"/>
    <w:rsid w:val="00CA423C"/>
    <w:rsid w:val="00CB56D7"/>
    <w:rsid w:val="00CD0655"/>
    <w:rsid w:val="00CD181A"/>
    <w:rsid w:val="00CE3201"/>
    <w:rsid w:val="00CE500E"/>
    <w:rsid w:val="00CE57A1"/>
    <w:rsid w:val="00D20BEA"/>
    <w:rsid w:val="00D40A7D"/>
    <w:rsid w:val="00D42D40"/>
    <w:rsid w:val="00D71BF8"/>
    <w:rsid w:val="00DA489F"/>
    <w:rsid w:val="00DC7D8A"/>
    <w:rsid w:val="00DD6D6E"/>
    <w:rsid w:val="00DF18F8"/>
    <w:rsid w:val="00DF58B5"/>
    <w:rsid w:val="00DF6B41"/>
    <w:rsid w:val="00E01EA4"/>
    <w:rsid w:val="00E27EED"/>
    <w:rsid w:val="00E52F29"/>
    <w:rsid w:val="00E67F36"/>
    <w:rsid w:val="00E71425"/>
    <w:rsid w:val="00E71537"/>
    <w:rsid w:val="00E82EB9"/>
    <w:rsid w:val="00E9254B"/>
    <w:rsid w:val="00E93487"/>
    <w:rsid w:val="00EA1B94"/>
    <w:rsid w:val="00EA4CBE"/>
    <w:rsid w:val="00EA76C8"/>
    <w:rsid w:val="00EB036B"/>
    <w:rsid w:val="00EC6693"/>
    <w:rsid w:val="00F176FA"/>
    <w:rsid w:val="00F177FD"/>
    <w:rsid w:val="00F61EDF"/>
    <w:rsid w:val="00F90BDA"/>
    <w:rsid w:val="00FC3D59"/>
    <w:rsid w:val="00FC4380"/>
    <w:rsid w:val="00FD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semiHidden/>
    <w:unhideWhenUsed/>
    <w:rsid w:val="009709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Marysol Rivera Aguirre</cp:lastModifiedBy>
  <cp:revision>6</cp:revision>
  <cp:lastPrinted>2025-10-01T20:29:00Z</cp:lastPrinted>
  <dcterms:created xsi:type="dcterms:W3CDTF">2025-10-01T19:37:00Z</dcterms:created>
  <dcterms:modified xsi:type="dcterms:W3CDTF">2025-10-01T20:29:00Z</dcterms:modified>
</cp:coreProperties>
</file>