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0D3FB" w14:textId="77777777" w:rsidR="00CD6018" w:rsidRDefault="00CD6018" w:rsidP="00B37FFA">
      <w:pPr>
        <w:spacing w:after="0"/>
        <w:rPr>
          <w:rFonts w:ascii="Avenir Next LT Pro" w:eastAsia="Times New Roman" w:hAnsi="Avenir Next LT Pro" w:cs="Segoe UI"/>
          <w:b/>
          <w:color w:val="212121"/>
          <w:sz w:val="24"/>
          <w:szCs w:val="24"/>
          <w:lang w:eastAsia="es-MX"/>
        </w:rPr>
      </w:pPr>
    </w:p>
    <w:p w14:paraId="5B7118C7" w14:textId="77777777" w:rsidR="00B37FFA" w:rsidRPr="00A90958" w:rsidRDefault="00B37FFA" w:rsidP="00B37FFA">
      <w:pPr>
        <w:spacing w:after="0"/>
        <w:rPr>
          <w:rFonts w:ascii="Avenir Next LT Pro Light" w:eastAsia="Times New Roman" w:hAnsi="Avenir Next LT Pro Light" w:cs="Segoe UI"/>
          <w:b/>
          <w:color w:val="212121"/>
          <w:sz w:val="24"/>
          <w:szCs w:val="24"/>
          <w:lang w:eastAsia="es-MX"/>
        </w:rPr>
      </w:pPr>
      <w:r w:rsidRPr="00A90958">
        <w:rPr>
          <w:rFonts w:ascii="Avenir Next LT Pro Light" w:eastAsia="Times New Roman" w:hAnsi="Avenir Next LT Pro Light" w:cs="Segoe UI"/>
          <w:b/>
          <w:color w:val="212121"/>
          <w:sz w:val="24"/>
          <w:szCs w:val="24"/>
          <w:lang w:eastAsia="es-MX"/>
        </w:rPr>
        <w:t xml:space="preserve">ARTÍCULO </w:t>
      </w:r>
      <w:r w:rsidR="00C3297A">
        <w:rPr>
          <w:rFonts w:ascii="Avenir Next LT Pro Light" w:eastAsia="Times New Roman" w:hAnsi="Avenir Next LT Pro Light" w:cs="Segoe UI"/>
          <w:b/>
          <w:color w:val="212121"/>
          <w:sz w:val="24"/>
          <w:szCs w:val="24"/>
          <w:lang w:eastAsia="es-MX"/>
        </w:rPr>
        <w:t>65</w:t>
      </w:r>
    </w:p>
    <w:p w14:paraId="1CD066E8" w14:textId="2D2B30C0" w:rsidR="00B37FFA" w:rsidRPr="00A90958" w:rsidRDefault="00B37FFA" w:rsidP="00B37FFA">
      <w:pPr>
        <w:spacing w:after="0"/>
        <w:rPr>
          <w:rFonts w:ascii="Avenir Next LT Pro Light" w:eastAsia="Times New Roman" w:hAnsi="Avenir Next LT Pro Light" w:cs="Segoe UI"/>
          <w:b/>
          <w:color w:val="212121"/>
          <w:sz w:val="24"/>
          <w:szCs w:val="24"/>
          <w:lang w:eastAsia="es-MX"/>
        </w:rPr>
      </w:pPr>
      <w:r w:rsidRPr="00A90958">
        <w:rPr>
          <w:rFonts w:ascii="Avenir Next LT Pro Light" w:eastAsia="Times New Roman" w:hAnsi="Avenir Next LT Pro Light" w:cs="Segoe UI"/>
          <w:b/>
          <w:color w:val="212121"/>
          <w:sz w:val="24"/>
          <w:szCs w:val="24"/>
          <w:lang w:eastAsia="es-MX"/>
        </w:rPr>
        <w:t xml:space="preserve">FRACCIÓN </w:t>
      </w:r>
      <w:r w:rsidR="001E2F66">
        <w:rPr>
          <w:rFonts w:ascii="Avenir Next LT Pro Light" w:eastAsia="Times New Roman" w:hAnsi="Avenir Next LT Pro Light" w:cs="Segoe UI"/>
          <w:b/>
          <w:color w:val="212121"/>
          <w:sz w:val="24"/>
          <w:szCs w:val="24"/>
          <w:lang w:eastAsia="es-MX"/>
        </w:rPr>
        <w:t>XLV</w:t>
      </w:r>
    </w:p>
    <w:p w14:paraId="122A9029" w14:textId="23C29D48" w:rsidR="001E2F66" w:rsidRPr="001E2F66" w:rsidRDefault="001E2F66" w:rsidP="001E2F66">
      <w:pPr>
        <w:spacing w:line="360" w:lineRule="auto"/>
        <w:jc w:val="both"/>
        <w:rPr>
          <w:rFonts w:ascii="Avenir Next LT Pro Light" w:hAnsi="Avenir Next LT Pro Light"/>
          <w:b/>
          <w:bCs/>
          <w:color w:val="444444"/>
          <w:sz w:val="24"/>
          <w:szCs w:val="24"/>
          <w:shd w:val="clear" w:color="auto" w:fill="FFFFFF"/>
        </w:rPr>
      </w:pPr>
      <w:r w:rsidRPr="001E2F66">
        <w:rPr>
          <w:rFonts w:ascii="Avenir Next LT Pro Light" w:hAnsi="Avenir Next LT Pro Light"/>
          <w:b/>
          <w:bCs/>
          <w:color w:val="444444"/>
          <w:sz w:val="24"/>
          <w:szCs w:val="24"/>
          <w:shd w:val="clear" w:color="auto" w:fill="FFFFFF"/>
        </w:rPr>
        <w:t>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14:paraId="393EF41D" w14:textId="7C188907" w:rsidR="00B37FFA" w:rsidRPr="00A90958" w:rsidRDefault="00B37FFA" w:rsidP="00B37FFA">
      <w:pPr>
        <w:tabs>
          <w:tab w:val="left" w:pos="1830"/>
          <w:tab w:val="center" w:pos="4322"/>
        </w:tabs>
        <w:rPr>
          <w:rFonts w:ascii="Avenir Next LT Pro Light" w:hAnsi="Avenir Next LT Pro Light" w:cs="Arial"/>
          <w:sz w:val="24"/>
          <w:szCs w:val="24"/>
        </w:rPr>
      </w:pPr>
      <w:r w:rsidRPr="00A90958">
        <w:rPr>
          <w:rFonts w:ascii="Avenir Next LT Pro Light" w:hAnsi="Avenir Next LT Pro Light" w:cs="Arial"/>
          <w:sz w:val="24"/>
          <w:szCs w:val="24"/>
        </w:rPr>
        <w:tab/>
      </w:r>
    </w:p>
    <w:p w14:paraId="3F27C451" w14:textId="77777777" w:rsidR="00B37FFA" w:rsidRPr="006E7FF6" w:rsidRDefault="00B37FFA" w:rsidP="00DE50E5">
      <w:pPr>
        <w:pStyle w:val="NormalWeb"/>
        <w:spacing w:before="0" w:beforeAutospacing="0" w:after="0" w:afterAutospacing="0" w:line="360" w:lineRule="auto"/>
        <w:jc w:val="both"/>
        <w:rPr>
          <w:rFonts w:ascii="Avenir Next LT Pro Light" w:eastAsia="+mn-ea" w:hAnsi="Avenir Next LT Pro Light" w:cs="Arial"/>
          <w:color w:val="000000"/>
          <w:kern w:val="24"/>
        </w:rPr>
      </w:pPr>
      <w:r w:rsidRPr="006E7FF6">
        <w:rPr>
          <w:rFonts w:ascii="Avenir Next LT Pro Light" w:eastAsia="+mn-ea" w:hAnsi="Avenir Next LT Pro Light" w:cs="Arial"/>
          <w:bCs/>
          <w:color w:val="000000"/>
          <w:kern w:val="24"/>
        </w:rPr>
        <w:t xml:space="preserve">En cumplimiento al artículo </w:t>
      </w:r>
      <w:r w:rsidR="00C3297A" w:rsidRPr="006E7FF6">
        <w:rPr>
          <w:rFonts w:ascii="Avenir Next LT Pro Light" w:eastAsia="+mn-ea" w:hAnsi="Avenir Next LT Pro Light" w:cs="Arial"/>
          <w:bCs/>
          <w:color w:val="000000"/>
          <w:kern w:val="24"/>
        </w:rPr>
        <w:t>65</w:t>
      </w:r>
      <w:r w:rsidRPr="006E7FF6">
        <w:rPr>
          <w:rFonts w:ascii="Avenir Next LT Pro Light" w:eastAsia="+mn-ea" w:hAnsi="Avenir Next LT Pro Light" w:cs="Arial"/>
          <w:bCs/>
          <w:color w:val="000000"/>
          <w:kern w:val="24"/>
        </w:rPr>
        <w:t xml:space="preserve"> fracción </w:t>
      </w:r>
      <w:r w:rsidR="00C3297A" w:rsidRPr="006E7FF6">
        <w:rPr>
          <w:rFonts w:ascii="Avenir Next LT Pro Light" w:eastAsia="+mn-ea" w:hAnsi="Avenir Next LT Pro Light" w:cs="Arial"/>
          <w:bCs/>
          <w:color w:val="000000"/>
          <w:kern w:val="24"/>
        </w:rPr>
        <w:t>XXXVI</w:t>
      </w:r>
      <w:r w:rsidRPr="006E7FF6">
        <w:rPr>
          <w:rFonts w:ascii="Avenir Next LT Pro Light" w:eastAsia="+mn-ea" w:hAnsi="Avenir Next LT Pro Light" w:cs="Arial"/>
          <w:bCs/>
          <w:color w:val="000000"/>
          <w:kern w:val="24"/>
        </w:rPr>
        <w:t xml:space="preserve">I, de la </w:t>
      </w:r>
      <w:r w:rsidR="0088012B" w:rsidRPr="006E7FF6">
        <w:rPr>
          <w:rFonts w:ascii="Avenir Next LT Pro Light" w:eastAsia="+mn-ea" w:hAnsi="Avenir Next LT Pro Light" w:cs="Arial"/>
          <w:color w:val="000000"/>
          <w:kern w:val="24"/>
        </w:rPr>
        <w:t xml:space="preserve">Ley </w:t>
      </w:r>
      <w:r w:rsidR="00C3297A" w:rsidRPr="006E7FF6">
        <w:rPr>
          <w:rFonts w:ascii="Avenir Next LT Pro Light" w:eastAsia="+mn-ea" w:hAnsi="Avenir Next LT Pro Light" w:cs="Arial"/>
          <w:color w:val="000000"/>
          <w:kern w:val="24"/>
        </w:rPr>
        <w:t xml:space="preserve">General </w:t>
      </w:r>
      <w:r w:rsidR="0088012B" w:rsidRPr="006E7FF6">
        <w:rPr>
          <w:rFonts w:ascii="Avenir Next LT Pro Light" w:eastAsia="+mn-ea" w:hAnsi="Avenir Next LT Pro Light" w:cs="Arial"/>
          <w:color w:val="000000"/>
          <w:kern w:val="24"/>
        </w:rPr>
        <w:t>de Transparencia</w:t>
      </w:r>
      <w:r w:rsidR="00C3297A" w:rsidRPr="006E7FF6">
        <w:rPr>
          <w:rFonts w:ascii="Avenir Next LT Pro Light" w:eastAsia="+mn-ea" w:hAnsi="Avenir Next LT Pro Light" w:cs="Arial"/>
          <w:color w:val="000000"/>
          <w:kern w:val="24"/>
        </w:rPr>
        <w:t xml:space="preserve"> y Acceso a la Información Pública</w:t>
      </w:r>
      <w:r w:rsidR="00F1669A" w:rsidRPr="006E7FF6">
        <w:rPr>
          <w:rFonts w:ascii="Avenir Next LT Pro Light" w:eastAsia="+mn-ea" w:hAnsi="Avenir Next LT Pro Light" w:cs="Arial"/>
          <w:color w:val="000000"/>
          <w:kern w:val="24"/>
        </w:rPr>
        <w:t>.</w:t>
      </w:r>
    </w:p>
    <w:p w14:paraId="48B89916" w14:textId="77777777" w:rsidR="001E2F66" w:rsidRPr="006E7FF6" w:rsidRDefault="001E2F66" w:rsidP="00DE50E5">
      <w:pPr>
        <w:pStyle w:val="NormalWeb"/>
        <w:spacing w:before="0" w:beforeAutospacing="0" w:after="0" w:afterAutospacing="0" w:line="360" w:lineRule="auto"/>
        <w:jc w:val="both"/>
        <w:rPr>
          <w:rFonts w:ascii="Avenir Next LT Pro Light" w:eastAsia="+mn-ea" w:hAnsi="Avenir Next LT Pro Light" w:cs="Arial"/>
          <w:color w:val="000000"/>
          <w:kern w:val="24"/>
        </w:rPr>
      </w:pPr>
    </w:p>
    <w:p w14:paraId="631F8546" w14:textId="65B62C9A" w:rsidR="001E2F66" w:rsidRPr="006E7FF6" w:rsidRDefault="001E2F66" w:rsidP="001E2F66">
      <w:pPr>
        <w:spacing w:line="360" w:lineRule="auto"/>
        <w:jc w:val="both"/>
        <w:rPr>
          <w:rFonts w:ascii="Avenir Next LT Pro Light" w:hAnsi="Avenir Next LT Pro Light"/>
          <w:sz w:val="24"/>
          <w:szCs w:val="24"/>
        </w:rPr>
      </w:pPr>
      <w:r w:rsidRPr="006E7FF6">
        <w:rPr>
          <w:rFonts w:ascii="Avenir Next LT Pro Light" w:hAnsi="Avenir Next LT Pro Light"/>
          <w:sz w:val="24"/>
          <w:szCs w:val="24"/>
        </w:rPr>
        <w:t>Este Tribunal de Justicia Administrativa del Estado de Coahuila de Zaragoza, de acuerdo con sus facultades establecidas en la Ley Orgánica que lo rige no genera ni detenta información relativa al estado de solicitudes, empresas concesionarias de telecomunicaciones y proveedores de servicios o aplicaciones de internet para la intervención de comunicaciones privadas, el acceso al registro de comunicaciones y la localización geográfica en tiempo real de equipos de comunicación.</w:t>
      </w:r>
    </w:p>
    <w:p w14:paraId="73A331B6" w14:textId="77777777" w:rsidR="00DE50E5" w:rsidRPr="00A90958" w:rsidRDefault="00DE50E5" w:rsidP="00DE50E5">
      <w:pPr>
        <w:pStyle w:val="NormalWeb"/>
        <w:spacing w:before="0" w:beforeAutospacing="0" w:after="0" w:afterAutospacing="0" w:line="360" w:lineRule="auto"/>
        <w:jc w:val="both"/>
        <w:rPr>
          <w:rFonts w:ascii="Avenir Next LT Pro Light" w:eastAsia="+mn-ea" w:hAnsi="Avenir Next LT Pro Light" w:cs="Arial"/>
          <w:color w:val="000000"/>
          <w:kern w:val="24"/>
        </w:rPr>
      </w:pPr>
    </w:p>
    <w:p w14:paraId="56C3B21A" w14:textId="77777777" w:rsidR="00BD29CA" w:rsidRPr="001E2F66" w:rsidRDefault="00BD29CA" w:rsidP="001E2F66">
      <w:pPr>
        <w:pStyle w:val="NormalWeb"/>
        <w:tabs>
          <w:tab w:val="left" w:pos="4440"/>
        </w:tabs>
        <w:spacing w:before="0" w:beforeAutospacing="0" w:after="0" w:afterAutospacing="0"/>
        <w:jc w:val="both"/>
        <w:rPr>
          <w:rFonts w:ascii="Avenir Next LT Pro Light" w:eastAsia="+mn-ea" w:hAnsi="Avenir Next LT Pro Light" w:cs="Arial"/>
          <w:bCs/>
          <w:color w:val="000000"/>
          <w:kern w:val="24"/>
        </w:rPr>
      </w:pPr>
    </w:p>
    <w:p w14:paraId="19A30974" w14:textId="77777777" w:rsidR="006B05C5" w:rsidRPr="00A90958" w:rsidRDefault="006B05C5" w:rsidP="006B05C5">
      <w:pPr>
        <w:spacing w:after="0"/>
        <w:ind w:right="681"/>
        <w:rPr>
          <w:rFonts w:ascii="Avenir Next LT Pro Light" w:hAnsi="Avenir Next LT Pro Light"/>
          <w:i/>
          <w:iCs/>
          <w:sz w:val="18"/>
          <w:szCs w:val="18"/>
          <w:lang w:val="es-ES"/>
        </w:rPr>
      </w:pPr>
      <w:r w:rsidRPr="00A90958">
        <w:rPr>
          <w:rFonts w:ascii="Avenir Next LT Pro Light" w:hAnsi="Avenir Next LT Pro Light"/>
          <w:b/>
          <w:i/>
          <w:iCs/>
          <w:sz w:val="18"/>
          <w:szCs w:val="18"/>
          <w:lang w:val="es-ES"/>
        </w:rPr>
        <w:t>Elaborado por:</w:t>
      </w:r>
      <w:r w:rsidRPr="00A90958">
        <w:rPr>
          <w:rFonts w:ascii="Avenir Next LT Pro Light" w:hAnsi="Avenir Next LT Pro Light"/>
          <w:i/>
          <w:iCs/>
          <w:sz w:val="18"/>
          <w:szCs w:val="18"/>
          <w:lang w:val="es-ES"/>
        </w:rPr>
        <w:t xml:space="preserve"> </w:t>
      </w:r>
      <w:r>
        <w:rPr>
          <w:rFonts w:ascii="Avenir Next LT Pro Light" w:hAnsi="Avenir Next LT Pro Light"/>
          <w:i/>
          <w:iCs/>
          <w:sz w:val="18"/>
          <w:szCs w:val="18"/>
          <w:lang w:val="es-ES"/>
        </w:rPr>
        <w:t xml:space="preserve">Lic. Octavio Guadalupe Adame Jacinto </w:t>
      </w:r>
    </w:p>
    <w:p w14:paraId="1EAE5CCB" w14:textId="77777777" w:rsidR="006B05C5" w:rsidRPr="00A90958" w:rsidRDefault="006B05C5" w:rsidP="006B05C5">
      <w:pPr>
        <w:spacing w:after="0"/>
        <w:ind w:right="681"/>
        <w:rPr>
          <w:rFonts w:ascii="Avenir Next LT Pro Light" w:hAnsi="Avenir Next LT Pro Light"/>
          <w:i/>
          <w:iCs/>
          <w:sz w:val="18"/>
          <w:szCs w:val="18"/>
          <w:lang w:val="es-ES"/>
        </w:rPr>
      </w:pPr>
      <w:r>
        <w:rPr>
          <w:rFonts w:ascii="Avenir Next LT Pro Light" w:hAnsi="Avenir Next LT Pro Light"/>
          <w:b/>
          <w:i/>
          <w:iCs/>
          <w:sz w:val="18"/>
          <w:szCs w:val="18"/>
          <w:lang w:val="es-ES"/>
        </w:rPr>
        <w:t>Unidad Administrativa</w:t>
      </w:r>
      <w:r w:rsidRPr="00A90958">
        <w:rPr>
          <w:rFonts w:ascii="Avenir Next LT Pro Light" w:hAnsi="Avenir Next LT Pro Light"/>
          <w:b/>
          <w:i/>
          <w:iCs/>
          <w:sz w:val="18"/>
          <w:szCs w:val="18"/>
          <w:lang w:val="es-ES"/>
        </w:rPr>
        <w:t>:</w:t>
      </w:r>
      <w:r>
        <w:rPr>
          <w:rFonts w:ascii="Avenir Next LT Pro Light" w:hAnsi="Avenir Next LT Pro Light"/>
          <w:b/>
          <w:i/>
          <w:iCs/>
          <w:sz w:val="18"/>
          <w:szCs w:val="18"/>
          <w:lang w:val="es-ES"/>
        </w:rPr>
        <w:t xml:space="preserve"> </w:t>
      </w:r>
      <w:proofErr w:type="gramStart"/>
      <w:r>
        <w:rPr>
          <w:rFonts w:ascii="Avenir Next LT Pro Light" w:hAnsi="Avenir Next LT Pro Light"/>
          <w:bCs/>
          <w:i/>
          <w:iCs/>
          <w:sz w:val="18"/>
          <w:szCs w:val="18"/>
          <w:lang w:val="es-ES"/>
        </w:rPr>
        <w:t>Secretario Técnico</w:t>
      </w:r>
      <w:proofErr w:type="gramEnd"/>
      <w:r>
        <w:rPr>
          <w:rFonts w:ascii="Avenir Next LT Pro Light" w:hAnsi="Avenir Next LT Pro Light"/>
          <w:b/>
          <w:i/>
          <w:iCs/>
          <w:sz w:val="18"/>
          <w:szCs w:val="18"/>
          <w:lang w:val="es-ES"/>
        </w:rPr>
        <w:t xml:space="preserve"> </w:t>
      </w:r>
      <w:r w:rsidRPr="00A90958">
        <w:rPr>
          <w:rFonts w:ascii="Avenir Next LT Pro Light" w:hAnsi="Avenir Next LT Pro Light"/>
          <w:bCs/>
          <w:i/>
          <w:iCs/>
          <w:sz w:val="18"/>
          <w:szCs w:val="18"/>
          <w:lang w:val="es-ES"/>
        </w:rPr>
        <w:t xml:space="preserve"> </w:t>
      </w:r>
    </w:p>
    <w:p w14:paraId="222A8D52" w14:textId="77777777" w:rsidR="006B05C5" w:rsidRPr="00A90958" w:rsidRDefault="006B05C5" w:rsidP="006B05C5">
      <w:pPr>
        <w:spacing w:after="0"/>
        <w:ind w:right="681"/>
        <w:rPr>
          <w:rFonts w:ascii="Avenir Next LT Pro Light" w:hAnsi="Avenir Next LT Pro Light"/>
          <w:i/>
          <w:iCs/>
          <w:sz w:val="18"/>
          <w:szCs w:val="18"/>
          <w:lang w:val="es-ES"/>
        </w:rPr>
      </w:pPr>
      <w:r w:rsidRPr="00A90958">
        <w:rPr>
          <w:rFonts w:ascii="Avenir Next LT Pro Light" w:hAnsi="Avenir Next LT Pro Light"/>
          <w:b/>
          <w:i/>
          <w:iCs/>
          <w:sz w:val="18"/>
          <w:szCs w:val="18"/>
          <w:lang w:val="es-ES"/>
        </w:rPr>
        <w:t>Fecha de actualización:</w:t>
      </w:r>
      <w:r w:rsidRPr="00A90958">
        <w:rPr>
          <w:rFonts w:ascii="Avenir Next LT Pro Light" w:hAnsi="Avenir Next LT Pro Light"/>
          <w:i/>
          <w:iCs/>
          <w:sz w:val="18"/>
          <w:szCs w:val="18"/>
          <w:lang w:val="es-ES"/>
        </w:rPr>
        <w:t xml:space="preserve"> </w:t>
      </w:r>
      <w:r>
        <w:rPr>
          <w:rFonts w:ascii="Avenir Next LT Pro Light" w:hAnsi="Avenir Next LT Pro Light"/>
          <w:i/>
          <w:iCs/>
          <w:sz w:val="18"/>
          <w:szCs w:val="18"/>
          <w:lang w:val="es-ES"/>
        </w:rPr>
        <w:t>01</w:t>
      </w:r>
      <w:r w:rsidRPr="00A90958">
        <w:rPr>
          <w:rFonts w:ascii="Avenir Next LT Pro Light" w:hAnsi="Avenir Next LT Pro Light"/>
          <w:i/>
          <w:iCs/>
          <w:sz w:val="18"/>
          <w:szCs w:val="18"/>
          <w:lang w:val="es-ES"/>
        </w:rPr>
        <w:t>/</w:t>
      </w:r>
      <w:r>
        <w:rPr>
          <w:rFonts w:ascii="Avenir Next LT Pro Light" w:hAnsi="Avenir Next LT Pro Light"/>
          <w:i/>
          <w:iCs/>
          <w:sz w:val="18"/>
          <w:szCs w:val="18"/>
          <w:lang w:val="es-ES"/>
        </w:rPr>
        <w:t>10</w:t>
      </w:r>
      <w:r w:rsidRPr="00A90958">
        <w:rPr>
          <w:rFonts w:ascii="Avenir Next LT Pro Light" w:hAnsi="Avenir Next LT Pro Light"/>
          <w:i/>
          <w:iCs/>
          <w:sz w:val="18"/>
          <w:szCs w:val="18"/>
          <w:lang w:val="es-ES"/>
        </w:rPr>
        <w:t>/2025.</w:t>
      </w:r>
    </w:p>
    <w:p w14:paraId="00323751" w14:textId="77777777" w:rsidR="00EA76C8" w:rsidRPr="004F00D3" w:rsidRDefault="00EA76C8" w:rsidP="00FD7E3D">
      <w:pPr>
        <w:spacing w:after="0"/>
        <w:jc w:val="right"/>
        <w:rPr>
          <w:rFonts w:ascii="Avenir Next LT Pro Light" w:hAnsi="Avenir Next LT Pro Light" w:cs="Arial"/>
          <w:color w:val="2F5496" w:themeColor="accent1" w:themeShade="BF"/>
          <w:lang w:val="en-US"/>
        </w:rPr>
      </w:pPr>
    </w:p>
    <w:sectPr w:rsidR="00EA76C8" w:rsidRPr="004F00D3" w:rsidSect="00EC20F5">
      <w:headerReference w:type="default" r:id="rId7"/>
      <w:footerReference w:type="default" r:id="rId8"/>
      <w:pgSz w:w="12240" w:h="15840"/>
      <w:pgMar w:top="2625" w:right="1134" w:bottom="1418"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BB992" w14:textId="77777777" w:rsidR="008F0816" w:rsidRDefault="008F0816" w:rsidP="00A71679">
      <w:pPr>
        <w:spacing w:after="0" w:line="240" w:lineRule="auto"/>
      </w:pPr>
      <w:r>
        <w:separator/>
      </w:r>
    </w:p>
  </w:endnote>
  <w:endnote w:type="continuationSeparator" w:id="0">
    <w:p w14:paraId="443332F8" w14:textId="77777777" w:rsidR="008F0816" w:rsidRDefault="008F0816"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Calibri"/>
    <w:charset w:val="00"/>
    <w:family w:val="swiss"/>
    <w:pitch w:val="variable"/>
    <w:sig w:usb0="800000EF" w:usb1="5000204A" w:usb2="00000000" w:usb3="00000000" w:csb0="00000093" w:csb1="00000000"/>
  </w:font>
  <w:font w:name="Avenir Next LT Pro Light">
    <w:altName w:val="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957B"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7042522A" wp14:editId="3B570799">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proofErr w:type="spellStart"/>
    <w:r w:rsidRPr="00E82EB9">
      <w:rPr>
        <w:rFonts w:ascii="Avenir Next LT Pro" w:eastAsia="Times New Roman" w:hAnsi="Avenir Next LT Pro" w:cs="Arial"/>
        <w:color w:val="1F3864" w:themeColor="accent1" w:themeShade="80"/>
        <w:sz w:val="16"/>
        <w:szCs w:val="16"/>
        <w:lang w:eastAsia="es-MX"/>
      </w:rPr>
      <w:t>Blvd</w:t>
    </w:r>
    <w:proofErr w:type="spellEnd"/>
    <w:r w:rsidRPr="00E82EB9">
      <w:rPr>
        <w:rFonts w:ascii="Avenir Next LT Pro" w:eastAsia="Times New Roman" w:hAnsi="Avenir Next LT Pro" w:cs="Arial"/>
        <w:color w:val="1F3864" w:themeColor="accent1" w:themeShade="80"/>
        <w:sz w:val="16"/>
        <w:szCs w:val="16"/>
        <w:lang w:eastAsia="es-MX"/>
      </w:rPr>
      <w:t xml:space="preserve">. Francisco Coss s/n, entre Purcell y </w:t>
    </w:r>
    <w:proofErr w:type="gramStart"/>
    <w:r w:rsidRPr="00E82EB9">
      <w:rPr>
        <w:rFonts w:ascii="Avenir Next LT Pro" w:eastAsia="Times New Roman" w:hAnsi="Avenir Next LT Pro" w:cs="Arial"/>
        <w:color w:val="1F3864" w:themeColor="accent1" w:themeShade="80"/>
        <w:sz w:val="16"/>
        <w:szCs w:val="16"/>
        <w:lang w:eastAsia="es-MX"/>
      </w:rPr>
      <w:t>Presidente</w:t>
    </w:r>
    <w:proofErr w:type="gramEnd"/>
    <w:r w:rsidRPr="00E82EB9">
      <w:rPr>
        <w:rFonts w:ascii="Avenir Next LT Pro" w:eastAsia="Times New Roman" w:hAnsi="Avenir Next LT Pro" w:cs="Arial"/>
        <w:color w:val="1F3864" w:themeColor="accent1" w:themeShade="80"/>
        <w:sz w:val="16"/>
        <w:szCs w:val="16"/>
        <w:lang w:eastAsia="es-MX"/>
      </w:rPr>
      <w:t xml:space="preserve"> Cárdenas, Zona Centro, C.P 25000, Saltillo, Coahuila de Zaragoza</w:t>
    </w:r>
  </w:p>
  <w:p w14:paraId="4BC462B4" w14:textId="77777777"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4CB599E" wp14:editId="5839BE7D">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3A4DB52D" wp14:editId="522C4B2D">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084CD04C" wp14:editId="05DFAA03">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480B771F" w14:textId="77777777" w:rsidR="00A71679" w:rsidRDefault="00A716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1BEA9" w14:textId="77777777" w:rsidR="008F0816" w:rsidRDefault="008F0816" w:rsidP="00A71679">
      <w:pPr>
        <w:spacing w:after="0" w:line="240" w:lineRule="auto"/>
      </w:pPr>
      <w:r>
        <w:separator/>
      </w:r>
    </w:p>
  </w:footnote>
  <w:footnote w:type="continuationSeparator" w:id="0">
    <w:p w14:paraId="08363571" w14:textId="77777777" w:rsidR="008F0816" w:rsidRDefault="008F0816"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55F8" w14:textId="77777777" w:rsidR="00AA5C73" w:rsidRDefault="00AA5C73" w:rsidP="00A71679">
    <w:pPr>
      <w:pStyle w:val="Encabezado"/>
      <w:jc w:val="center"/>
    </w:pPr>
  </w:p>
  <w:tbl>
    <w:tblPr>
      <w:tblStyle w:val="Tablaconcuadrcula"/>
      <w:tblW w:w="12251" w:type="dxa"/>
      <w:tblInd w:w="-1134" w:type="dxa"/>
      <w:tblLook w:val="04A0" w:firstRow="1" w:lastRow="0" w:firstColumn="1" w:lastColumn="0" w:noHBand="0" w:noVBand="1"/>
    </w:tblPr>
    <w:tblGrid>
      <w:gridCol w:w="4538"/>
      <w:gridCol w:w="425"/>
      <w:gridCol w:w="2325"/>
      <w:gridCol w:w="424"/>
      <w:gridCol w:w="4539"/>
    </w:tblGrid>
    <w:tr w:rsidR="00CE3201" w14:paraId="19B90D43" w14:textId="77777777" w:rsidTr="00003BD1">
      <w:trPr>
        <w:trHeight w:val="452"/>
      </w:trPr>
      <w:tc>
        <w:tcPr>
          <w:tcW w:w="4538" w:type="dxa"/>
          <w:tcBorders>
            <w:top w:val="nil"/>
            <w:left w:val="nil"/>
            <w:bottom w:val="single" w:sz="24" w:space="0" w:color="1F3864" w:themeColor="accent1" w:themeShade="80"/>
            <w:right w:val="nil"/>
          </w:tcBorders>
        </w:tcPr>
        <w:p w14:paraId="19C0E28A" w14:textId="77777777"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17BF7AA3" w14:textId="77777777" w:rsidR="00CE3201" w:rsidRPr="00CE3201" w:rsidRDefault="00CE3201" w:rsidP="00A71679">
          <w:pPr>
            <w:pStyle w:val="Encabezado"/>
            <w:jc w:val="center"/>
            <w:rPr>
              <w:b/>
              <w:bCs/>
              <w:color w:val="2F5496" w:themeColor="accent1" w:themeShade="BF"/>
            </w:rPr>
          </w:pPr>
        </w:p>
      </w:tc>
      <w:tc>
        <w:tcPr>
          <w:tcW w:w="2325" w:type="dxa"/>
          <w:vMerge w:val="restart"/>
          <w:tcBorders>
            <w:top w:val="nil"/>
            <w:left w:val="nil"/>
            <w:bottom w:val="nil"/>
            <w:right w:val="nil"/>
          </w:tcBorders>
        </w:tcPr>
        <w:p w14:paraId="27D08307" w14:textId="77777777"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2AB6D098" wp14:editId="426D2572">
                <wp:simplePos x="0" y="0"/>
                <wp:positionH relativeFrom="margin">
                  <wp:posOffset>-124460</wp:posOffset>
                </wp:positionH>
                <wp:positionV relativeFrom="paragraph">
                  <wp:posOffset>-163830</wp:posOffset>
                </wp:positionV>
                <wp:extent cx="1579245" cy="1190098"/>
                <wp:effectExtent l="0" t="0" r="0" b="0"/>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5609" cy="1209966"/>
                        </a:xfrm>
                        <a:prstGeom prst="rect">
                          <a:avLst/>
                        </a:prstGeom>
                      </pic:spPr>
                    </pic:pic>
                  </a:graphicData>
                </a:graphic>
                <wp14:sizeRelH relativeFrom="page">
                  <wp14:pctWidth>0</wp14:pctWidth>
                </wp14:sizeRelH>
                <wp14:sizeRelV relativeFrom="page">
                  <wp14:pctHeight>0</wp14:pctHeight>
                </wp14:sizeRelV>
              </wp:anchor>
            </w:drawing>
          </w:r>
        </w:p>
      </w:tc>
      <w:tc>
        <w:tcPr>
          <w:tcW w:w="424" w:type="dxa"/>
          <w:tcBorders>
            <w:top w:val="nil"/>
            <w:left w:val="nil"/>
            <w:bottom w:val="nil"/>
            <w:right w:val="nil"/>
          </w:tcBorders>
        </w:tcPr>
        <w:p w14:paraId="053F65C9" w14:textId="77777777" w:rsidR="00CE3201" w:rsidRPr="00CE3201" w:rsidRDefault="00CE3201" w:rsidP="00A71679">
          <w:pPr>
            <w:pStyle w:val="Encabezado"/>
            <w:jc w:val="center"/>
            <w:rPr>
              <w:b/>
              <w:bCs/>
              <w:color w:val="2F5496" w:themeColor="accent1" w:themeShade="BF"/>
            </w:rPr>
          </w:pPr>
        </w:p>
      </w:tc>
      <w:tc>
        <w:tcPr>
          <w:tcW w:w="4539" w:type="dxa"/>
          <w:tcBorders>
            <w:top w:val="nil"/>
            <w:left w:val="nil"/>
            <w:bottom w:val="single" w:sz="24" w:space="0" w:color="1F3864"/>
            <w:right w:val="nil"/>
          </w:tcBorders>
        </w:tcPr>
        <w:p w14:paraId="6C307302" w14:textId="77777777" w:rsidR="00CE3201" w:rsidRPr="00CE3201" w:rsidRDefault="00CE3201" w:rsidP="00A71679">
          <w:pPr>
            <w:pStyle w:val="Encabezado"/>
            <w:jc w:val="center"/>
            <w:rPr>
              <w:b/>
              <w:bCs/>
              <w:color w:val="2F5496" w:themeColor="accent1" w:themeShade="BF"/>
            </w:rPr>
          </w:pPr>
        </w:p>
      </w:tc>
    </w:tr>
    <w:tr w:rsidR="00CE3201" w14:paraId="14E5D650" w14:textId="77777777" w:rsidTr="00003BD1">
      <w:trPr>
        <w:trHeight w:val="452"/>
      </w:trPr>
      <w:tc>
        <w:tcPr>
          <w:tcW w:w="4963" w:type="dxa"/>
          <w:gridSpan w:val="2"/>
          <w:tcBorders>
            <w:top w:val="nil"/>
            <w:left w:val="nil"/>
            <w:bottom w:val="single" w:sz="24" w:space="0" w:color="1F3864" w:themeColor="accent1" w:themeShade="80"/>
            <w:right w:val="nil"/>
          </w:tcBorders>
        </w:tcPr>
        <w:p w14:paraId="6B3E8ECA" w14:textId="77777777" w:rsidR="00CE3201" w:rsidRPr="00CE3201" w:rsidRDefault="00CE3201" w:rsidP="00A71679">
          <w:pPr>
            <w:pStyle w:val="Encabezado"/>
            <w:jc w:val="center"/>
            <w:rPr>
              <w:b/>
              <w:bCs/>
              <w:color w:val="2F5496" w:themeColor="accent1" w:themeShade="BF"/>
            </w:rPr>
          </w:pPr>
        </w:p>
      </w:tc>
      <w:tc>
        <w:tcPr>
          <w:tcW w:w="2325" w:type="dxa"/>
          <w:vMerge/>
          <w:tcBorders>
            <w:top w:val="nil"/>
            <w:left w:val="nil"/>
            <w:bottom w:val="nil"/>
            <w:right w:val="nil"/>
          </w:tcBorders>
        </w:tcPr>
        <w:p w14:paraId="59F8D836" w14:textId="77777777" w:rsidR="00CE3201" w:rsidRPr="00CE3201" w:rsidRDefault="00CE3201" w:rsidP="00A71679">
          <w:pPr>
            <w:pStyle w:val="Encabezado"/>
            <w:jc w:val="center"/>
            <w:rPr>
              <w:b/>
              <w:bCs/>
              <w:color w:val="2F5496" w:themeColor="accent1" w:themeShade="BF"/>
            </w:rPr>
          </w:pPr>
        </w:p>
      </w:tc>
      <w:tc>
        <w:tcPr>
          <w:tcW w:w="4963" w:type="dxa"/>
          <w:gridSpan w:val="2"/>
          <w:tcBorders>
            <w:top w:val="nil"/>
            <w:left w:val="nil"/>
            <w:bottom w:val="single" w:sz="24" w:space="0" w:color="1F3864"/>
            <w:right w:val="nil"/>
          </w:tcBorders>
        </w:tcPr>
        <w:p w14:paraId="3A8B8122" w14:textId="77777777" w:rsidR="00CE3201" w:rsidRPr="00CE3201" w:rsidRDefault="00CE3201" w:rsidP="00A71679">
          <w:pPr>
            <w:pStyle w:val="Encabezado"/>
            <w:jc w:val="center"/>
            <w:rPr>
              <w:b/>
              <w:bCs/>
              <w:color w:val="2F5496" w:themeColor="accent1" w:themeShade="BF"/>
            </w:rPr>
          </w:pPr>
        </w:p>
      </w:tc>
    </w:tr>
  </w:tbl>
  <w:p w14:paraId="505B7030" w14:textId="77777777" w:rsidR="007E09E3" w:rsidRPr="00003BD1" w:rsidRDefault="007E09E3" w:rsidP="00A71679">
    <w:pPr>
      <w:pStyle w:val="Encabezado"/>
      <w:jc w:val="center"/>
      <w:rPr>
        <w:b/>
        <w:bCs/>
      </w:rPr>
    </w:pPr>
  </w:p>
  <w:p w14:paraId="5EEBB2F5" w14:textId="77777777" w:rsidR="007E09E3" w:rsidRDefault="007E09E3" w:rsidP="00A71679">
    <w:pPr>
      <w:pStyle w:val="Encabezado"/>
      <w:jc w:val="center"/>
    </w:pPr>
  </w:p>
  <w:p w14:paraId="133D52D3" w14:textId="77777777" w:rsidR="007E09E3" w:rsidRDefault="007E09E3" w:rsidP="00A7167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13216791">
    <w:abstractNumId w:val="1"/>
  </w:num>
  <w:num w:numId="2" w16cid:durableId="155681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03BD1"/>
    <w:rsid w:val="000077F2"/>
    <w:rsid w:val="000131E3"/>
    <w:rsid w:val="00014779"/>
    <w:rsid w:val="00017713"/>
    <w:rsid w:val="000205AB"/>
    <w:rsid w:val="00025FCE"/>
    <w:rsid w:val="00026C76"/>
    <w:rsid w:val="00034082"/>
    <w:rsid w:val="0003670F"/>
    <w:rsid w:val="0004183C"/>
    <w:rsid w:val="000500AB"/>
    <w:rsid w:val="000529E5"/>
    <w:rsid w:val="00054CFB"/>
    <w:rsid w:val="00055F95"/>
    <w:rsid w:val="000653B4"/>
    <w:rsid w:val="00076E20"/>
    <w:rsid w:val="000827EC"/>
    <w:rsid w:val="000952C4"/>
    <w:rsid w:val="000A5F0E"/>
    <w:rsid w:val="000B75CB"/>
    <w:rsid w:val="000C43D5"/>
    <w:rsid w:val="000C4916"/>
    <w:rsid w:val="000C6502"/>
    <w:rsid w:val="000D69B4"/>
    <w:rsid w:val="000E09D3"/>
    <w:rsid w:val="000E2B73"/>
    <w:rsid w:val="000E308C"/>
    <w:rsid w:val="000E531C"/>
    <w:rsid w:val="001027F4"/>
    <w:rsid w:val="0010553B"/>
    <w:rsid w:val="00142BAA"/>
    <w:rsid w:val="00152EB8"/>
    <w:rsid w:val="001530AA"/>
    <w:rsid w:val="00180B7B"/>
    <w:rsid w:val="001916CD"/>
    <w:rsid w:val="0019698E"/>
    <w:rsid w:val="001A5BB0"/>
    <w:rsid w:val="001A6838"/>
    <w:rsid w:val="001A79CB"/>
    <w:rsid w:val="001B2C79"/>
    <w:rsid w:val="001B5AD5"/>
    <w:rsid w:val="001C177A"/>
    <w:rsid w:val="001C1899"/>
    <w:rsid w:val="001C65DF"/>
    <w:rsid w:val="001D0611"/>
    <w:rsid w:val="001D431D"/>
    <w:rsid w:val="001D476E"/>
    <w:rsid w:val="001D4E50"/>
    <w:rsid w:val="001E2F66"/>
    <w:rsid w:val="001E6906"/>
    <w:rsid w:val="001E7841"/>
    <w:rsid w:val="001F24EB"/>
    <w:rsid w:val="001F7855"/>
    <w:rsid w:val="002037C5"/>
    <w:rsid w:val="002060EE"/>
    <w:rsid w:val="00212B29"/>
    <w:rsid w:val="00226258"/>
    <w:rsid w:val="002305EC"/>
    <w:rsid w:val="00236BA5"/>
    <w:rsid w:val="0024258A"/>
    <w:rsid w:val="00244FEF"/>
    <w:rsid w:val="002450FC"/>
    <w:rsid w:val="002453D0"/>
    <w:rsid w:val="00252881"/>
    <w:rsid w:val="00270BB5"/>
    <w:rsid w:val="00275D6A"/>
    <w:rsid w:val="00290426"/>
    <w:rsid w:val="002B09E6"/>
    <w:rsid w:val="002B1336"/>
    <w:rsid w:val="002C1461"/>
    <w:rsid w:val="002C1FBE"/>
    <w:rsid w:val="002D5E4E"/>
    <w:rsid w:val="002D7D08"/>
    <w:rsid w:val="002E5165"/>
    <w:rsid w:val="002F03CC"/>
    <w:rsid w:val="002F65D1"/>
    <w:rsid w:val="00300981"/>
    <w:rsid w:val="00302DF4"/>
    <w:rsid w:val="003055AE"/>
    <w:rsid w:val="003234A5"/>
    <w:rsid w:val="003246D1"/>
    <w:rsid w:val="0034066D"/>
    <w:rsid w:val="00340F33"/>
    <w:rsid w:val="00345CEA"/>
    <w:rsid w:val="00345FFC"/>
    <w:rsid w:val="0035247F"/>
    <w:rsid w:val="0035672E"/>
    <w:rsid w:val="00374144"/>
    <w:rsid w:val="00381F47"/>
    <w:rsid w:val="003845ED"/>
    <w:rsid w:val="00385137"/>
    <w:rsid w:val="003960B2"/>
    <w:rsid w:val="003B1D5B"/>
    <w:rsid w:val="003B475F"/>
    <w:rsid w:val="003B6752"/>
    <w:rsid w:val="003C1C63"/>
    <w:rsid w:val="003C254B"/>
    <w:rsid w:val="003D2093"/>
    <w:rsid w:val="003D6434"/>
    <w:rsid w:val="003D7A20"/>
    <w:rsid w:val="003D7E9B"/>
    <w:rsid w:val="003E5182"/>
    <w:rsid w:val="003E520D"/>
    <w:rsid w:val="003F1AB1"/>
    <w:rsid w:val="003F5143"/>
    <w:rsid w:val="003F5E7F"/>
    <w:rsid w:val="003F6C7D"/>
    <w:rsid w:val="00405EDD"/>
    <w:rsid w:val="00424351"/>
    <w:rsid w:val="00427219"/>
    <w:rsid w:val="00427341"/>
    <w:rsid w:val="00443216"/>
    <w:rsid w:val="00455911"/>
    <w:rsid w:val="00457463"/>
    <w:rsid w:val="004716F2"/>
    <w:rsid w:val="00473704"/>
    <w:rsid w:val="0047370B"/>
    <w:rsid w:val="00484ED5"/>
    <w:rsid w:val="00486486"/>
    <w:rsid w:val="00493C25"/>
    <w:rsid w:val="004A217A"/>
    <w:rsid w:val="004A2F76"/>
    <w:rsid w:val="004A4F2D"/>
    <w:rsid w:val="004B40A5"/>
    <w:rsid w:val="004B6422"/>
    <w:rsid w:val="004C3C4C"/>
    <w:rsid w:val="004C7448"/>
    <w:rsid w:val="004D1B72"/>
    <w:rsid w:val="004F00D3"/>
    <w:rsid w:val="004F73FA"/>
    <w:rsid w:val="0050549D"/>
    <w:rsid w:val="005151A4"/>
    <w:rsid w:val="0052040C"/>
    <w:rsid w:val="00525A25"/>
    <w:rsid w:val="00527F93"/>
    <w:rsid w:val="00533DF6"/>
    <w:rsid w:val="00534109"/>
    <w:rsid w:val="00537357"/>
    <w:rsid w:val="00537D23"/>
    <w:rsid w:val="005464D3"/>
    <w:rsid w:val="00551169"/>
    <w:rsid w:val="00552898"/>
    <w:rsid w:val="005752A9"/>
    <w:rsid w:val="00577DB0"/>
    <w:rsid w:val="005817E5"/>
    <w:rsid w:val="0058410D"/>
    <w:rsid w:val="00584FA4"/>
    <w:rsid w:val="00587764"/>
    <w:rsid w:val="0059465D"/>
    <w:rsid w:val="005A5E2E"/>
    <w:rsid w:val="005C5BC9"/>
    <w:rsid w:val="005C748B"/>
    <w:rsid w:val="005C79EE"/>
    <w:rsid w:val="005D4EA8"/>
    <w:rsid w:val="005D70FD"/>
    <w:rsid w:val="005E0D3C"/>
    <w:rsid w:val="005E5A70"/>
    <w:rsid w:val="005E61D5"/>
    <w:rsid w:val="00610F02"/>
    <w:rsid w:val="00614A7A"/>
    <w:rsid w:val="00621F4D"/>
    <w:rsid w:val="006325A5"/>
    <w:rsid w:val="00632BFD"/>
    <w:rsid w:val="00637B41"/>
    <w:rsid w:val="00651DE6"/>
    <w:rsid w:val="00651F00"/>
    <w:rsid w:val="00663B5B"/>
    <w:rsid w:val="00677E14"/>
    <w:rsid w:val="00684AD7"/>
    <w:rsid w:val="00690223"/>
    <w:rsid w:val="00692989"/>
    <w:rsid w:val="006932AD"/>
    <w:rsid w:val="00694AB5"/>
    <w:rsid w:val="006A3EE5"/>
    <w:rsid w:val="006B05C5"/>
    <w:rsid w:val="006B1488"/>
    <w:rsid w:val="006B3906"/>
    <w:rsid w:val="006D3954"/>
    <w:rsid w:val="006E4543"/>
    <w:rsid w:val="006E7FF6"/>
    <w:rsid w:val="006F23A8"/>
    <w:rsid w:val="006F5134"/>
    <w:rsid w:val="006F582A"/>
    <w:rsid w:val="006F5C42"/>
    <w:rsid w:val="006F6C0F"/>
    <w:rsid w:val="00702541"/>
    <w:rsid w:val="0071072E"/>
    <w:rsid w:val="00712A18"/>
    <w:rsid w:val="00734BC8"/>
    <w:rsid w:val="00737D5D"/>
    <w:rsid w:val="00746568"/>
    <w:rsid w:val="007466AA"/>
    <w:rsid w:val="00750B89"/>
    <w:rsid w:val="00753581"/>
    <w:rsid w:val="0077076B"/>
    <w:rsid w:val="00790DED"/>
    <w:rsid w:val="00797428"/>
    <w:rsid w:val="007A57EA"/>
    <w:rsid w:val="007A6BE3"/>
    <w:rsid w:val="007B0779"/>
    <w:rsid w:val="007B1E02"/>
    <w:rsid w:val="007B2120"/>
    <w:rsid w:val="007B3980"/>
    <w:rsid w:val="007B7D85"/>
    <w:rsid w:val="007C0DB0"/>
    <w:rsid w:val="007C1AD5"/>
    <w:rsid w:val="007D155F"/>
    <w:rsid w:val="007D54F5"/>
    <w:rsid w:val="007D6938"/>
    <w:rsid w:val="007E09E3"/>
    <w:rsid w:val="007E1196"/>
    <w:rsid w:val="007F25BE"/>
    <w:rsid w:val="00804758"/>
    <w:rsid w:val="00807624"/>
    <w:rsid w:val="00810BE6"/>
    <w:rsid w:val="0081319F"/>
    <w:rsid w:val="0081740C"/>
    <w:rsid w:val="00824603"/>
    <w:rsid w:val="008260C4"/>
    <w:rsid w:val="00826357"/>
    <w:rsid w:val="00844390"/>
    <w:rsid w:val="00846DC1"/>
    <w:rsid w:val="00856478"/>
    <w:rsid w:val="00870071"/>
    <w:rsid w:val="00870E6D"/>
    <w:rsid w:val="0088012B"/>
    <w:rsid w:val="00883257"/>
    <w:rsid w:val="00883870"/>
    <w:rsid w:val="00891297"/>
    <w:rsid w:val="00891404"/>
    <w:rsid w:val="008920F3"/>
    <w:rsid w:val="0089389D"/>
    <w:rsid w:val="00895A2F"/>
    <w:rsid w:val="008B4BAC"/>
    <w:rsid w:val="008C4E6E"/>
    <w:rsid w:val="008E0749"/>
    <w:rsid w:val="008E3BE7"/>
    <w:rsid w:val="008E68B2"/>
    <w:rsid w:val="008F0816"/>
    <w:rsid w:val="009007AE"/>
    <w:rsid w:val="00903CB5"/>
    <w:rsid w:val="00905E24"/>
    <w:rsid w:val="009219D4"/>
    <w:rsid w:val="009229E7"/>
    <w:rsid w:val="0092474D"/>
    <w:rsid w:val="00925E65"/>
    <w:rsid w:val="00927CD6"/>
    <w:rsid w:val="00934F49"/>
    <w:rsid w:val="00936B2B"/>
    <w:rsid w:val="00936CDA"/>
    <w:rsid w:val="0094439D"/>
    <w:rsid w:val="009630DC"/>
    <w:rsid w:val="00971FA6"/>
    <w:rsid w:val="00975C80"/>
    <w:rsid w:val="009822FB"/>
    <w:rsid w:val="009827B5"/>
    <w:rsid w:val="00982ED2"/>
    <w:rsid w:val="0098758E"/>
    <w:rsid w:val="009879B2"/>
    <w:rsid w:val="00991DA3"/>
    <w:rsid w:val="009A4C1D"/>
    <w:rsid w:val="009C19B9"/>
    <w:rsid w:val="009D63AE"/>
    <w:rsid w:val="009E7A71"/>
    <w:rsid w:val="009F00D1"/>
    <w:rsid w:val="009F1024"/>
    <w:rsid w:val="009F128F"/>
    <w:rsid w:val="009F6222"/>
    <w:rsid w:val="00A000C7"/>
    <w:rsid w:val="00A109B1"/>
    <w:rsid w:val="00A11D6D"/>
    <w:rsid w:val="00A139A6"/>
    <w:rsid w:val="00A1695E"/>
    <w:rsid w:val="00A216A2"/>
    <w:rsid w:val="00A34BBA"/>
    <w:rsid w:val="00A36059"/>
    <w:rsid w:val="00A36F00"/>
    <w:rsid w:val="00A55569"/>
    <w:rsid w:val="00A56BC3"/>
    <w:rsid w:val="00A6013B"/>
    <w:rsid w:val="00A63639"/>
    <w:rsid w:val="00A711D6"/>
    <w:rsid w:val="00A71679"/>
    <w:rsid w:val="00A76124"/>
    <w:rsid w:val="00A90958"/>
    <w:rsid w:val="00A91AE3"/>
    <w:rsid w:val="00A95F46"/>
    <w:rsid w:val="00AA4451"/>
    <w:rsid w:val="00AA492A"/>
    <w:rsid w:val="00AA5C73"/>
    <w:rsid w:val="00AB29A6"/>
    <w:rsid w:val="00AB2F19"/>
    <w:rsid w:val="00AB536D"/>
    <w:rsid w:val="00AC0089"/>
    <w:rsid w:val="00AD6817"/>
    <w:rsid w:val="00AE1F86"/>
    <w:rsid w:val="00AE7AA0"/>
    <w:rsid w:val="00AF0F7B"/>
    <w:rsid w:val="00AF23CD"/>
    <w:rsid w:val="00AF2E8C"/>
    <w:rsid w:val="00B076B4"/>
    <w:rsid w:val="00B14274"/>
    <w:rsid w:val="00B14FF0"/>
    <w:rsid w:val="00B21043"/>
    <w:rsid w:val="00B2159C"/>
    <w:rsid w:val="00B216E0"/>
    <w:rsid w:val="00B31C16"/>
    <w:rsid w:val="00B37FFA"/>
    <w:rsid w:val="00B46317"/>
    <w:rsid w:val="00B56323"/>
    <w:rsid w:val="00B60EF1"/>
    <w:rsid w:val="00B71ED8"/>
    <w:rsid w:val="00B75DBA"/>
    <w:rsid w:val="00B7723D"/>
    <w:rsid w:val="00B824E9"/>
    <w:rsid w:val="00B828DB"/>
    <w:rsid w:val="00B863F9"/>
    <w:rsid w:val="00B93E9B"/>
    <w:rsid w:val="00B93ED5"/>
    <w:rsid w:val="00BA3CA2"/>
    <w:rsid w:val="00BB0868"/>
    <w:rsid w:val="00BB3314"/>
    <w:rsid w:val="00BB5D3E"/>
    <w:rsid w:val="00BC032B"/>
    <w:rsid w:val="00BC08A3"/>
    <w:rsid w:val="00BC0DFA"/>
    <w:rsid w:val="00BD1221"/>
    <w:rsid w:val="00BD29CA"/>
    <w:rsid w:val="00BD410E"/>
    <w:rsid w:val="00BD7DCE"/>
    <w:rsid w:val="00BE13FB"/>
    <w:rsid w:val="00BF469F"/>
    <w:rsid w:val="00BF641D"/>
    <w:rsid w:val="00C00794"/>
    <w:rsid w:val="00C01212"/>
    <w:rsid w:val="00C01818"/>
    <w:rsid w:val="00C04E6F"/>
    <w:rsid w:val="00C0566D"/>
    <w:rsid w:val="00C077D0"/>
    <w:rsid w:val="00C07CA5"/>
    <w:rsid w:val="00C07DAA"/>
    <w:rsid w:val="00C109D2"/>
    <w:rsid w:val="00C126C8"/>
    <w:rsid w:val="00C14834"/>
    <w:rsid w:val="00C15DE7"/>
    <w:rsid w:val="00C20BAF"/>
    <w:rsid w:val="00C2749F"/>
    <w:rsid w:val="00C3297A"/>
    <w:rsid w:val="00C35FF2"/>
    <w:rsid w:val="00C41C25"/>
    <w:rsid w:val="00C44652"/>
    <w:rsid w:val="00C4504F"/>
    <w:rsid w:val="00C45E51"/>
    <w:rsid w:val="00C57E77"/>
    <w:rsid w:val="00C63A0E"/>
    <w:rsid w:val="00C76A36"/>
    <w:rsid w:val="00C8498E"/>
    <w:rsid w:val="00C9468C"/>
    <w:rsid w:val="00C97E85"/>
    <w:rsid w:val="00CA423C"/>
    <w:rsid w:val="00CC2E21"/>
    <w:rsid w:val="00CC636A"/>
    <w:rsid w:val="00CD0655"/>
    <w:rsid w:val="00CD181A"/>
    <w:rsid w:val="00CD430D"/>
    <w:rsid w:val="00CD6018"/>
    <w:rsid w:val="00CE3201"/>
    <w:rsid w:val="00CE6E84"/>
    <w:rsid w:val="00D060E4"/>
    <w:rsid w:val="00D20BEA"/>
    <w:rsid w:val="00D32DA4"/>
    <w:rsid w:val="00D40A7D"/>
    <w:rsid w:val="00D50643"/>
    <w:rsid w:val="00D56EE9"/>
    <w:rsid w:val="00D614ED"/>
    <w:rsid w:val="00D619A0"/>
    <w:rsid w:val="00D64088"/>
    <w:rsid w:val="00D65A3B"/>
    <w:rsid w:val="00D71BF8"/>
    <w:rsid w:val="00D727F3"/>
    <w:rsid w:val="00D812D8"/>
    <w:rsid w:val="00DB0AAD"/>
    <w:rsid w:val="00DB2A64"/>
    <w:rsid w:val="00DB6EE9"/>
    <w:rsid w:val="00DC08E6"/>
    <w:rsid w:val="00DC6725"/>
    <w:rsid w:val="00DD13A2"/>
    <w:rsid w:val="00DD2B35"/>
    <w:rsid w:val="00DD6D6E"/>
    <w:rsid w:val="00DE1952"/>
    <w:rsid w:val="00DE50E5"/>
    <w:rsid w:val="00DF18F8"/>
    <w:rsid w:val="00E01C2B"/>
    <w:rsid w:val="00E01C7A"/>
    <w:rsid w:val="00E049A7"/>
    <w:rsid w:val="00E10526"/>
    <w:rsid w:val="00E14793"/>
    <w:rsid w:val="00E217E6"/>
    <w:rsid w:val="00E27EED"/>
    <w:rsid w:val="00E32201"/>
    <w:rsid w:val="00E351A4"/>
    <w:rsid w:val="00E43C34"/>
    <w:rsid w:val="00E4592F"/>
    <w:rsid w:val="00E567C2"/>
    <w:rsid w:val="00E61964"/>
    <w:rsid w:val="00E632FE"/>
    <w:rsid w:val="00E67B4F"/>
    <w:rsid w:val="00E71425"/>
    <w:rsid w:val="00E756D6"/>
    <w:rsid w:val="00E7725A"/>
    <w:rsid w:val="00E7771E"/>
    <w:rsid w:val="00E82EB9"/>
    <w:rsid w:val="00E84C0E"/>
    <w:rsid w:val="00E9254B"/>
    <w:rsid w:val="00E93487"/>
    <w:rsid w:val="00EA1B55"/>
    <w:rsid w:val="00EA3922"/>
    <w:rsid w:val="00EA76C8"/>
    <w:rsid w:val="00EB036B"/>
    <w:rsid w:val="00EB759C"/>
    <w:rsid w:val="00EC20F5"/>
    <w:rsid w:val="00EC43D1"/>
    <w:rsid w:val="00EE28B8"/>
    <w:rsid w:val="00EF1CF4"/>
    <w:rsid w:val="00EF646A"/>
    <w:rsid w:val="00F029C4"/>
    <w:rsid w:val="00F04978"/>
    <w:rsid w:val="00F076DF"/>
    <w:rsid w:val="00F16411"/>
    <w:rsid w:val="00F1669A"/>
    <w:rsid w:val="00F176FA"/>
    <w:rsid w:val="00F219B5"/>
    <w:rsid w:val="00F511C7"/>
    <w:rsid w:val="00F537E4"/>
    <w:rsid w:val="00F55809"/>
    <w:rsid w:val="00F6022E"/>
    <w:rsid w:val="00F61EDF"/>
    <w:rsid w:val="00F72A4C"/>
    <w:rsid w:val="00F8219B"/>
    <w:rsid w:val="00F863D5"/>
    <w:rsid w:val="00F90BDA"/>
    <w:rsid w:val="00F97380"/>
    <w:rsid w:val="00FA068F"/>
    <w:rsid w:val="00FC3FBF"/>
    <w:rsid w:val="00FC4380"/>
    <w:rsid w:val="00FD3643"/>
    <w:rsid w:val="00FD7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E1CE1"/>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NormalWeb">
    <w:name w:val="Normal (Web)"/>
    <w:basedOn w:val="Normal"/>
    <w:uiPriority w:val="99"/>
    <w:unhideWhenUsed/>
    <w:rsid w:val="00B37FF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177</Words>
  <Characters>1066</Characters>
  <Application>Microsoft Office Word</Application>
  <DocSecurity>0</DocSecurity>
  <Lines>26</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Perez</dc:creator>
  <cp:keywords/>
  <dc:description/>
  <cp:lastModifiedBy>Gabriela Perez Garza</cp:lastModifiedBy>
  <cp:revision>13</cp:revision>
  <cp:lastPrinted>2025-10-20T19:14:00Z</cp:lastPrinted>
  <dcterms:created xsi:type="dcterms:W3CDTF">2025-10-15T16:36:00Z</dcterms:created>
  <dcterms:modified xsi:type="dcterms:W3CDTF">2025-10-20T19:14:00Z</dcterms:modified>
</cp:coreProperties>
</file>